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A JUSTIÇA PENAL INTERNACIONAL EM TEMPOS VOLÁTEIS: A ATUAÇÃO DO TRIBUNAL PENAL INTERNACIONAL NOS CASOS DA UCRÂNIA E DA PALESTINA</w:t>
      </w:r>
    </w:p>
    <w:p w:rsidR="00000000" w:rsidDel="00000000" w:rsidP="00000000" w:rsidRDefault="00000000" w:rsidRPr="00000000" w14:paraId="00000002">
      <w:pPr>
        <w:pStyle w:val="Heading1"/>
        <w:spacing w:line="360" w:lineRule="auto"/>
        <w:ind w:left="720" w:firstLine="0"/>
        <w:jc w:val="right"/>
        <w:rPr>
          <w:rFonts w:ascii="Times New Roman" w:cs="Times New Roman" w:eastAsia="Times New Roman" w:hAnsi="Times New Roman"/>
          <w:sz w:val="24"/>
          <w:szCs w:val="24"/>
        </w:rPr>
      </w:pPr>
      <w:bookmarkStart w:colFirst="0" w:colLast="0" w:name="_heading=h.hob3r1b5etic" w:id="0"/>
      <w:bookmarkEnd w:id="0"/>
      <w:r w:rsidDel="00000000" w:rsidR="00000000" w:rsidRPr="00000000">
        <w:rPr>
          <w:rFonts w:ascii="Times New Roman" w:cs="Times New Roman" w:eastAsia="Times New Roman" w:hAnsi="Times New Roman"/>
          <w:sz w:val="24"/>
          <w:szCs w:val="24"/>
          <w:rtl w:val="0"/>
        </w:rPr>
        <w:t xml:space="preserve">Pedro Henrique Lavinas Ortman</w:t>
      </w:r>
      <w:r w:rsidDel="00000000" w:rsidR="00000000" w:rsidRPr="00000000">
        <w:rPr>
          <w:rFonts w:ascii="Times New Roman" w:cs="Times New Roman" w:eastAsia="Times New Roman" w:hAnsi="Times New Roman"/>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3">
      <w:pPr>
        <w:pStyle w:val="Heading1"/>
        <w:spacing w:line="360" w:lineRule="auto"/>
        <w:ind w:left="0" w:firstLine="0"/>
        <w:jc w:val="both"/>
        <w:rPr>
          <w:rFonts w:ascii="Times New Roman" w:cs="Times New Roman" w:eastAsia="Times New Roman" w:hAnsi="Times New Roman"/>
          <w:sz w:val="24"/>
          <w:szCs w:val="24"/>
        </w:rPr>
      </w:pPr>
      <w:bookmarkStart w:colFirst="0" w:colLast="0" w:name="_heading=h.x55l6hvvl70l" w:id="1"/>
      <w:bookmarkEnd w:id="1"/>
      <w:r w:rsidDel="00000000" w:rsidR="00000000" w:rsidRPr="00000000">
        <w:rPr>
          <w:rFonts w:ascii="Times New Roman" w:cs="Times New Roman" w:eastAsia="Times New Roman" w:hAnsi="Times New Roman"/>
          <w:b w:val="1"/>
          <w:bCs w:val="1"/>
          <w:sz w:val="24"/>
          <w:szCs w:val="24"/>
          <w:rtl w:val="0"/>
        </w:rPr>
        <w:t xml:space="preserve">INTRODUÇÃO</w:t>
      </w:r>
      <w:r w:rsidDel="00000000" w:rsidR="00000000" w:rsidRPr="00000000">
        <w:rPr>
          <w:rtl w:val="0"/>
        </w:rPr>
      </w:r>
    </w:p>
    <w:p w:rsidR="00000000" w:rsidDel="00000000" w:rsidP="00000000" w:rsidRDefault="00000000" w:rsidRPr="00000000" w14:paraId="00000004">
      <w:pPr>
        <w:spacing w:before="200"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intensificação dos conflitos armados no cenário internacional nas últimas décadas tem submetido à prova não apenas a estabilidade da ordem internacional, mas também o alcance e os limites do direito internacional, em especial no que se refere à contenção da violência e à responsabilização dos responsáveis por crimes internacionais. </w:t>
      </w:r>
    </w:p>
    <w:p w:rsidR="00000000" w:rsidDel="00000000" w:rsidP="00000000" w:rsidRDefault="00000000" w:rsidRPr="00000000" w14:paraId="00000005">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Até o fim da Segunda Guerra Mundial, a comunidade internacional dispunha de poucos instrumentos jurídicos e institucionais para enfrentar genocídios e outras violações graves de direitos humanos praticadas em larga escala, em grande parte devido à primazia atribuída à soberania estatal (Lewandowski, 2002, p. 188). Diante da magnitude dos crimes em massa perpetrados pelo regime nazista, os redatores da Carta do Tribunal Militar Internacional, conhecido como Tribunal de Nuremberg, buscaram formular uma resposta jurídica inédita ao Holocausto e às atrocidades cometidas durante o conflito (Cryer </w:t>
      </w:r>
      <w:r w:rsidDel="00000000" w:rsidR="00000000" w:rsidRPr="00000000">
        <w:rPr>
          <w:rFonts w:ascii="Times New Roman" w:cs="Times New Roman" w:eastAsia="Times New Roman" w:hAnsi="Times New Roman"/>
          <w:i w:val="1"/>
          <w:iCs w:val="1"/>
          <w:sz w:val="24"/>
          <w:szCs w:val="24"/>
          <w:rtl w:val="0"/>
        </w:rPr>
        <w:t xml:space="preserve">et al</w:t>
      </w:r>
      <w:r w:rsidDel="00000000" w:rsidR="00000000" w:rsidRPr="00000000">
        <w:rPr>
          <w:rFonts w:ascii="Times New Roman" w:cs="Times New Roman" w:eastAsia="Times New Roman" w:hAnsi="Times New Roman"/>
          <w:sz w:val="24"/>
          <w:szCs w:val="24"/>
          <w:rtl w:val="0"/>
        </w:rPr>
        <w:t xml:space="preserve">., 2010, p. 188). </w:t>
      </w:r>
    </w:p>
    <w:p w:rsidR="00000000" w:rsidDel="00000000" w:rsidP="00000000" w:rsidRDefault="00000000" w:rsidRPr="00000000" w14:paraId="00000006">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Ainda assim, foi apenas na década de 1990, com o estabelecimento dos tribunais penais internacionais </w:t>
      </w:r>
      <w:r w:rsidDel="00000000" w:rsidR="00000000" w:rsidRPr="00000000">
        <w:rPr>
          <w:rFonts w:ascii="Times New Roman" w:cs="Times New Roman" w:eastAsia="Times New Roman" w:hAnsi="Times New Roman"/>
          <w:i w:val="1"/>
          <w:iCs w:val="1"/>
          <w:sz w:val="24"/>
          <w:szCs w:val="24"/>
          <w:rtl w:val="0"/>
        </w:rPr>
        <w:t xml:space="preserve">ad hoc </w:t>
      </w:r>
      <w:r w:rsidDel="00000000" w:rsidR="00000000" w:rsidRPr="00000000">
        <w:rPr>
          <w:rFonts w:ascii="Times New Roman" w:cs="Times New Roman" w:eastAsia="Times New Roman" w:hAnsi="Times New Roman"/>
          <w:sz w:val="24"/>
          <w:szCs w:val="24"/>
          <w:rtl w:val="0"/>
        </w:rPr>
        <w:t xml:space="preserve">para a ex-Iugoslávia e para Ruanda, que se consolidou, de fato, um sistema de justiça penal internacional (Cryer </w:t>
      </w:r>
      <w:r w:rsidDel="00000000" w:rsidR="00000000" w:rsidRPr="00000000">
        <w:rPr>
          <w:rFonts w:ascii="Times New Roman" w:cs="Times New Roman" w:eastAsia="Times New Roman" w:hAnsi="Times New Roman"/>
          <w:i w:val="1"/>
          <w:iCs w:val="1"/>
          <w:sz w:val="24"/>
          <w:szCs w:val="24"/>
          <w:rtl w:val="0"/>
        </w:rPr>
        <w:t xml:space="preserve">et al</w:t>
      </w:r>
      <w:r w:rsidDel="00000000" w:rsidR="00000000" w:rsidRPr="00000000">
        <w:rPr>
          <w:rFonts w:ascii="Times New Roman" w:cs="Times New Roman" w:eastAsia="Times New Roman" w:hAnsi="Times New Roman"/>
          <w:sz w:val="24"/>
          <w:szCs w:val="24"/>
          <w:rtl w:val="0"/>
        </w:rPr>
        <w:t xml:space="preserve">., 2010, p. 1). A partir desse momento, intensificou-se o movimento por uma instância não episódica de responsabilização penal, processo que culminaria na criação do Tribunal Penal Internacional (TPI), concebido como a primeira corte internacional permanente destinada a julgar indivíduos por crimes internacionais.</w:t>
      </w:r>
    </w:p>
    <w:p w:rsidR="00000000" w:rsidDel="00000000" w:rsidP="00000000" w:rsidRDefault="00000000" w:rsidRPr="00000000" w14:paraId="00000007">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Após mais de duas décadas de funcionamento, o TPI consolidou-se como uma instituição central no direito internacional contemporâneo, reunindo mais de 120 Estados Partes e tendo exercido sua jurisdição em mais de 30 casos. (International Criminal Court, 2025). Não obstante, a atuação do Tribunal tem sido marcada por desafios estruturais, expostos de maneira particularmente acentuada em conflitos recentes de grande repercussão. Situações como as em curso na Ucrânia e na Palestina, </w:t>
      </w:r>
      <w:r w:rsidDel="00000000" w:rsidR="00000000" w:rsidRPr="00000000">
        <w:rPr>
          <w:rFonts w:ascii="Times New Roman" w:cs="Times New Roman" w:eastAsia="Times New Roman" w:hAnsi="Times New Roman"/>
          <w:sz w:val="24"/>
          <w:szCs w:val="24"/>
          <w:rtl w:val="0"/>
        </w:rPr>
        <w:t xml:space="preserve">em especial, na Faixa de Gaza, têm submetido o TPI a intensas pressões políticas, disputas narrativas e questionamentos quanto ao alcance e aos limites de sua jurisdição.</w:t>
      </w:r>
    </w:p>
    <w:p w:rsidR="00000000" w:rsidDel="00000000" w:rsidP="00000000" w:rsidRDefault="00000000" w:rsidRPr="00000000" w14:paraId="00000008">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Nesse contexto, impõe-se examinar em que medida, apesar dessas limitações, a atuação do TPI tem contribuído para a promoção da justiça penal internacional, especialmente à luz das tensões envolvidas no uso e nos limites de categorias jurídicas sensíveis, como o genocídio. Sustenta-se, neste capítulo, que o Tribunal tem conduzido sua atuação nos conflitos da Ucrânia e da Palestina/Gaza, em conformidade com as balizas jurídicas que regem o seu mandato, reafirmando parâmetros normativos essenciais em meio a um cenário de governança global marcado por volatilidade. Contudo, argumenta-se que a cautela do TPI na aplicação da tipificação de genocídio, mesmo diante da existência de elementos que poderiam sustentá-la nos casos ucraniano e palestino, revela limites estruturais e históricos da própria categoria de genocídio, mais do que falhas estratégicas do TPI.</w:t>
      </w:r>
    </w:p>
    <w:p w:rsidR="00000000" w:rsidDel="00000000" w:rsidP="00000000" w:rsidRDefault="00000000" w:rsidRPr="00000000" w14:paraId="00000009">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capítulo adota uma abordagem jurídico-dogmática de natureza qualitativa, baseada na análise normativa dos principais instrumentos do direito penal internacional, no exame da jurisprudência das cortes internacionais e na revisão histórico-conceitual da categoria genocídio. Os casos da Ucrânia e da Palestina são examinados como casos de exemplo.</w:t>
      </w:r>
    </w:p>
    <w:p w:rsidR="00000000" w:rsidDel="00000000" w:rsidP="00000000" w:rsidRDefault="00000000" w:rsidRPr="00000000" w14:paraId="0000000A">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análise está estruturada em três partes. Na primeira, apresenta-se o contexto histórico e normativo da justiça penal internacional. Na segunda, examina-se a atuação do TPI nos conflitos da Ucrânia e da Palestina/Gaza, à luz das balizas jurídicas do Estatuto de Roma. Por fim, faz-se uma avaliação crítica da cautela do Tribunal na aplicação da tipificação de genocídio, discutindo os limites dessa categoria jurídica.</w:t>
      </w:r>
    </w:p>
    <w:p w:rsidR="00000000" w:rsidDel="00000000" w:rsidP="00000000" w:rsidRDefault="00000000" w:rsidRPr="00000000" w14:paraId="0000000B">
      <w:pPr>
        <w:pStyle w:val="Heading1"/>
        <w:ind w:left="0" w:firstLine="0"/>
        <w:rPr>
          <w:rFonts w:ascii="Times New Roman" w:cs="Times New Roman" w:eastAsia="Times New Roman" w:hAnsi="Times New Roman"/>
          <w:b w:val="1"/>
          <w:bCs w:val="1"/>
          <w:sz w:val="24"/>
          <w:szCs w:val="24"/>
        </w:rPr>
      </w:pPr>
      <w:bookmarkStart w:colFirst="0" w:colLast="0" w:name="_heading=h.5618lpxxlxjf" w:id="2"/>
      <w:bookmarkEnd w:id="2"/>
      <w:r w:rsidDel="00000000" w:rsidR="00000000" w:rsidRPr="00000000">
        <w:rPr>
          <w:rFonts w:ascii="Times New Roman" w:cs="Times New Roman" w:eastAsia="Times New Roman" w:hAnsi="Times New Roman"/>
          <w:b w:val="1"/>
          <w:bCs w:val="1"/>
          <w:sz w:val="24"/>
          <w:szCs w:val="24"/>
          <w:rtl w:val="0"/>
        </w:rPr>
        <w:t xml:space="preserve">I - A JUSTIÇA PENAL INTERNACIONAL CONTEMPORÂNEA</w:t>
      </w:r>
    </w:p>
    <w:p w:rsidR="00000000" w:rsidDel="00000000" w:rsidP="00000000" w:rsidRDefault="00000000" w:rsidRPr="00000000" w14:paraId="0000000C">
      <w:pPr>
        <w:spacing w:after="200" w:before="200"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atuação do TPI nos conflitos envolvendo os conflitos em curso na Ucrânia e na Palestina/Gaza será examinada à luz das balizas jurídicas e dos limites institucionais que condicionam o exercício de sua jurisdição. Para tanto, parte-se da contextualização do Tribunal em um cenário mais amplo de transformação e questionamento das instituições internacionais.</w:t>
      </w:r>
    </w:p>
    <w:p w:rsidR="00000000" w:rsidDel="00000000" w:rsidP="00000000" w:rsidRDefault="00000000" w:rsidRPr="00000000" w14:paraId="0000000D">
      <w:pPr>
        <w:spacing w:before="200"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análise da atuação do TPI nos conflitos da atualidade deve ser compreendida à luz de um contexto marcado por crescente ceticismo e questionamentos em relação ao sistema internacional. Esse quadro se traduz em uma crise de legitimidade e credibilidade das instituições internacionais, bem como em debates quanto à sua capacidade de desempenhar funções de coordenação e governança em nível global, como ilustrado no caso da Organização das Nações Unidas (ONU) (Draetta, 2005).</w:t>
      </w:r>
    </w:p>
    <w:p w:rsidR="00000000" w:rsidDel="00000000" w:rsidP="00000000" w:rsidRDefault="00000000" w:rsidRPr="00000000" w14:paraId="0000000E">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Este cenário é ainda mais grave no que se refere às cortes internacionais. A crise de legitimidade e os questionamentos dirigidos às instâncias jurisdicionais internacionais têm sido frequentemente associados à sua proliferação e à ampliação de seu alcance em domínios cada vez mais extensos (Follesdal, 2020). No caso do TPI, a sua atuação é orientada por normas que delimitam o escopo do exercício de sua jurisdição. Concebido como a primeira corte penal internacional de caráter permanente, o Tribunal tem seu funcionamento disciplinado no Estatuto de Roma.</w:t>
      </w:r>
    </w:p>
    <w:p w:rsidR="00000000" w:rsidDel="00000000" w:rsidP="00000000" w:rsidRDefault="00000000" w:rsidRPr="00000000" w14:paraId="0000000F">
      <w:pPr>
        <w:spacing w:before="0"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Um dos pilares centrais do desenho institucional do TPI é o princípio da complementaridade, expressamente previsto no artigo 17 do Estatuto de Roma, segundo o qual a jurisdição do Tribunal é subsidiária à dos Estados, sendo exercida apenas quando estes não tenham vontade de levar a cabo o inquérito ou o procedimento, ou não tenham capacidade para o fazer (Brasil, 2002). O artigo 5º do Estatuto de Roma delimita a competência material do Tribunal, compreendendo crimes de guerra, crimes contra a humanidade, genocídio e o crime de agressão (Brasil, 2002).</w:t>
      </w:r>
    </w:p>
    <w:p w:rsidR="00000000" w:rsidDel="00000000" w:rsidP="00000000" w:rsidRDefault="00000000" w:rsidRPr="00000000" w14:paraId="00000010">
      <w:pPr>
        <w:spacing w:line="360" w:lineRule="auto"/>
        <w:ind w:firstLine="72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4"/>
          <w:szCs w:val="24"/>
          <w:rtl w:val="0"/>
        </w:rPr>
        <w:t xml:space="preserve">Nos termos do artigo 12, a jurisdição do Tribunal pode ser exercida com base em critérios territoriais e pessoais, incidindo sobre crimes cometidos no território de Estados Partes ou por seus nacionais, bem como nos casos de aceitação da jurisdição pelo Estado em cujo território os fatos tenham ocorrido (Brasil, 2002). É com base nesse dispositivo que se fundamenta a atuação do Tribunal nos casos da Ucrânia e da Palestina, ainda que em enquadramentos jurídicos e políticos distintos. Ademais, como requisito de admissibilidade, exige-se que o grau de gravidade do caso seja suficientemente elevado para justificar a intervenção do Tribunal (Brasil, 2002).</w:t>
      </w:r>
      <w:r w:rsidDel="00000000" w:rsidR="00000000" w:rsidRPr="00000000">
        <w:rPr>
          <w:rtl w:val="0"/>
        </w:rPr>
      </w:r>
    </w:p>
    <w:p w:rsidR="00000000" w:rsidDel="00000000" w:rsidP="00000000" w:rsidRDefault="00000000" w:rsidRPr="00000000" w14:paraId="00000011">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Além disso, a atuação do TPI é estruturalmente condicionada pela dependência da cooperação dos Estados Parte do Tribunal, uma vez que a Corte não dispõe de força executiva própria para assegurar o cumprimento de suas decisões (Hizume, 2007, p. 187). A execução de mandados de detenção e a cumprimento de outras medidas processuais dependem, em larga medida, da colaboração dos Estados, o que impõe limites concretos à efetividade da jurisdição do Tribunal, sobretudo em contextos nos quais os Estados envolvidos no conflito não cooperam ou não reconhecem sua jurisdição (Hizume, 2007, p. 192).</w:t>
      </w:r>
    </w:p>
    <w:p w:rsidR="00000000" w:rsidDel="00000000" w:rsidP="00000000" w:rsidRDefault="00000000" w:rsidRPr="00000000" w14:paraId="00000012">
      <w:pPr>
        <w:pStyle w:val="Heading1"/>
        <w:spacing w:after="0" w:lineRule="auto"/>
        <w:ind w:left="0" w:firstLine="0"/>
        <w:rPr>
          <w:rFonts w:ascii="Times New Roman" w:cs="Times New Roman" w:eastAsia="Times New Roman" w:hAnsi="Times New Roman"/>
          <w:b w:val="1"/>
          <w:bCs w:val="1"/>
          <w:sz w:val="24"/>
          <w:szCs w:val="24"/>
        </w:rPr>
      </w:pPr>
      <w:bookmarkStart w:colFirst="0" w:colLast="0" w:name="_heading=h.au0bngc1id62" w:id="3"/>
      <w:bookmarkEnd w:id="3"/>
      <w:r w:rsidDel="00000000" w:rsidR="00000000" w:rsidRPr="00000000">
        <w:rPr>
          <w:rFonts w:ascii="Times New Roman" w:cs="Times New Roman" w:eastAsia="Times New Roman" w:hAnsi="Times New Roman"/>
          <w:b w:val="1"/>
          <w:bCs w:val="1"/>
          <w:sz w:val="24"/>
          <w:szCs w:val="24"/>
          <w:rtl w:val="0"/>
        </w:rPr>
        <w:t xml:space="preserve">II - A ATUAÇÃO DO TPI NOS CONFLITOS DA UCRÂNIA E DA PALESTINA</w:t>
      </w:r>
    </w:p>
    <w:p w:rsidR="00000000" w:rsidDel="00000000" w:rsidP="00000000" w:rsidRDefault="00000000" w:rsidRPr="00000000" w14:paraId="00000013">
      <w:pPr>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4">
      <w:pPr>
        <w:spacing w:line="360" w:lineRule="auto"/>
        <w:ind w:firstLine="72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rtl w:val="0"/>
        </w:rPr>
        <w:t xml:space="preserve">A análise dos casos da Ucrânia e Palestina/Gaza requer a observância das balizas normativas do Estatuto de Roma e dos limites institucionais que condicionam o exercício da jurisdição do TPI, como é explicado na sequência.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4"/>
          <w:szCs w:val="24"/>
          <w:rtl w:val="0"/>
        </w:rPr>
        <w:t xml:space="preserve">Com a invasão da Ucrânia pela Rússia, em fevereiro de 2022, intensificaram-se de forma decisiva as tensões na região que remontam a pelo menos uma década antes, especialmente a partir dos acontecimentos de 2014. Diante da escalada do conflito armado e da multiplicação de alegações de crimes internacionais, a situação ucraniana passou a suscitar a atenção do Gabinete do Procurador do Tribunal, Karim Khan.</w:t>
      </w:r>
      <w:r w:rsidDel="00000000" w:rsidR="00000000" w:rsidRPr="00000000">
        <w:rPr>
          <w:rtl w:val="0"/>
        </w:rPr>
      </w:r>
    </w:p>
    <w:p w:rsidR="00000000" w:rsidDel="00000000" w:rsidP="00000000" w:rsidRDefault="00000000" w:rsidRPr="00000000" w14:paraId="00000015">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Embora a Ucrânia não tenha sido inicialmente Estado Parte do Estatuto de Roma,— tendo passado oficialmente a sê-lo apenas partir de 1º de janeiro de 2025, o Estado ucraniano aceitou a jurisdição do TPI por meio de duas declarações apresentadas nos termos do artigo 12(3) do Estatuto, permitindo ao Tribunal, assim,  exercer jurisdição sobre crimes alegadamente cometidos em seu território (Ukraine | International Criminal Court,  </w:t>
      </w:r>
      <w:r w:rsidDel="00000000" w:rsidR="00000000" w:rsidRPr="00000000">
        <w:rPr>
          <w:rFonts w:ascii="Times New Roman" w:cs="Times New Roman" w:eastAsia="Times New Roman" w:hAnsi="Times New Roman"/>
          <w:i w:val="1"/>
          <w:iCs w:val="1"/>
          <w:sz w:val="24"/>
          <w:szCs w:val="24"/>
          <w:rtl w:val="0"/>
        </w:rPr>
        <w:t xml:space="preserve">[S.d.]</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6">
      <w:pPr>
        <w:spacing w:line="36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ab/>
        <w:t xml:space="preserve">Em fevereiro de 2022, o Procurador do Tribunal anunciou a intenção de solicitar autorização para a abertura de uma investigação sobre a situação na Ucrânia. Em seguida, a situação foi objeto de encaminhamentos por um extenso grupo de Estados Parte do Estatuto de Roma, o que dispensou a necessidade de autorização judicial prévia. Com base nessas remissões, o Procurador procedeu à abertura da investigação em março de 2022, abrangendo alegações de crimes de guerra, crimes contra a humanidade e genocídio cometidos no território ucraniano, a partir de 21 de novembro de 2013 (Ukraine - International Criminal Court, </w:t>
      </w:r>
      <w:r w:rsidDel="00000000" w:rsidR="00000000" w:rsidRPr="00000000">
        <w:rPr>
          <w:rFonts w:ascii="Times New Roman" w:cs="Times New Roman" w:eastAsia="Times New Roman" w:hAnsi="Times New Roman"/>
          <w:i w:val="1"/>
          <w:iCs w:val="1"/>
          <w:sz w:val="24"/>
          <w:szCs w:val="24"/>
          <w:rtl w:val="0"/>
        </w:rPr>
        <w:t xml:space="preserve">[S.d.]</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7">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seguimento da investigação, a Câmara de Questões Preliminares II do Tribunal expediu, em 17 de março de 2023, mandados de detenção contra Vladimir Putin, Presidente da Federação Russa, e Maria Lvova-Belova, Comissária para os Direitos da Criança da Federação Russa. A Câmara considerou haver fundamentos razoáveis para crer que ambos são responsáveis pelos crimes de guerra de deportação ilegal e transferência ilegal de crianças de áreas ocupadas da Ucrânia para a Federação Russa, nos termos dos artigos 8(2)(a)(vii) e 8(2)(b)(viii) do Estatuto de Roma (Ukraine - International Criminal Court, </w:t>
      </w:r>
      <w:r w:rsidDel="00000000" w:rsidR="00000000" w:rsidRPr="00000000">
        <w:rPr>
          <w:rFonts w:ascii="Times New Roman" w:cs="Times New Roman" w:eastAsia="Times New Roman" w:hAnsi="Times New Roman"/>
          <w:i w:val="1"/>
          <w:iCs w:val="1"/>
          <w:sz w:val="24"/>
          <w:szCs w:val="24"/>
          <w:rtl w:val="0"/>
        </w:rPr>
        <w:t xml:space="preserve">[S.d.]</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8">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Posteriormente, foram expedidos mandados de detenção contra altos comandantes militares russos. Em 5 de março de 2024, a Câmara emitiu mandados contra Sergei Ivanovich Kobylash e Viktor Nikolayevich Sokolov, e, em 24 de junho de 2024, contra Sergei Kuzhugetovich Shoigu e Valery Vasilyevich Gerasimov. Em relação a eles, a Câmara entendeu haver fundamentos razoáveis para a imputação dos crimes de guerra de dirigir ataques contra bens civis e de causar danos incidentais excessivos a civis ou a bens civis, bem como do crime contra a humanidade de atos desumanos, nos termos dos artigos 8(2)(b)(ii), 8(2)(b)(iv) e 7(1)(k) do Estatuto de Roma (Ukraine - International Criminal Court, </w:t>
      </w:r>
      <w:r w:rsidDel="00000000" w:rsidR="00000000" w:rsidRPr="00000000">
        <w:rPr>
          <w:rFonts w:ascii="Times New Roman" w:cs="Times New Roman" w:eastAsia="Times New Roman" w:hAnsi="Times New Roman"/>
          <w:i w:val="1"/>
          <w:iCs w:val="1"/>
          <w:sz w:val="24"/>
          <w:szCs w:val="24"/>
          <w:rtl w:val="0"/>
        </w:rPr>
        <w:t xml:space="preserve">[S.d.]</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9">
      <w:pPr>
        <w:spacing w:line="360" w:lineRule="auto"/>
        <w:ind w:firstLine="72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rtl w:val="0"/>
        </w:rPr>
        <w:t xml:space="preserve">Portanto, a decisão do Gabinete do Procurador consistiu em qualificar a maior parte das condutas atribuídas aos suspeitos como crimes de guerra e crimes contra a humanidade, nos termos dos artigos 7 e 8 do Estatuto de Roma. Essa opção deve ser compreendida, sobretudo, como uma manifestação da discricionariedade técnica do Procurador no exercício de suas atribuições, orientada pela avaliação dos elementos objetivos e probatórios disponíveis no momento da acusação.</w:t>
      </w:r>
      <w:r w:rsidDel="00000000" w:rsidR="00000000" w:rsidRPr="00000000">
        <w:rPr>
          <w:rtl w:val="0"/>
        </w:rPr>
      </w:r>
    </w:p>
    <w:p w:rsidR="00000000" w:rsidDel="00000000" w:rsidP="00000000" w:rsidRDefault="00000000" w:rsidRPr="00000000" w14:paraId="0000001A">
      <w:pPr>
        <w:spacing w:before="0"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caso da Palestina/Gaza, a atuação do TPI decorre da investigação da situação no Estado da Palestina, aberta em razão da apresentação, em 2015, de declaração do Estado da Palestina aceitando a jurisdição do Tribunal sobre crimes alegadamente cometidos no seu território desde 13 de junho de 2014, bem como da adesão do Estado da Palestina ao Estatuto de Roma (State of Palestine | International Criminal Court, </w:t>
      </w:r>
      <w:r w:rsidDel="00000000" w:rsidR="00000000" w:rsidRPr="00000000">
        <w:rPr>
          <w:rFonts w:ascii="Times New Roman" w:cs="Times New Roman" w:eastAsia="Times New Roman" w:hAnsi="Times New Roman"/>
          <w:i w:val="1"/>
          <w:iCs w:val="1"/>
          <w:sz w:val="24"/>
          <w:szCs w:val="24"/>
          <w:rtl w:val="0"/>
        </w:rPr>
        <w:t xml:space="preserve">[S.d.]</w:t>
      </w:r>
      <w:r w:rsidDel="00000000" w:rsidR="00000000" w:rsidRPr="00000000">
        <w:rPr>
          <w:rFonts w:ascii="Times New Roman" w:cs="Times New Roman" w:eastAsia="Times New Roman" w:hAnsi="Times New Roman"/>
          <w:sz w:val="24"/>
          <w:szCs w:val="24"/>
          <w:rtl w:val="0"/>
        </w:rPr>
        <w:t xml:space="preserve">). Em decisão de fevereiro de 2021, a Câmara de Questões Preliminares I confirmou a competência do Tribunal para o exercício da sua jurisdição, afirmando que o escopo territorial dessa jurisdição se estende também a Gaza (State of Palestine | International Criminal Court,  </w:t>
      </w:r>
      <w:r w:rsidDel="00000000" w:rsidR="00000000" w:rsidRPr="00000000">
        <w:rPr>
          <w:rFonts w:ascii="Times New Roman" w:cs="Times New Roman" w:eastAsia="Times New Roman" w:hAnsi="Times New Roman"/>
          <w:i w:val="1"/>
          <w:iCs w:val="1"/>
          <w:sz w:val="24"/>
          <w:szCs w:val="24"/>
          <w:rtl w:val="0"/>
        </w:rPr>
        <w:t xml:space="preserve">[S.d.]</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B">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 7 de outubro de 2023, ataques perpetrados pelo Hamas deram início a uma nova escalada do conflito, seguidos por respostas militares do Estado de Israel em toda a Faixa de Gaza. Nesse contexto, a investigação do TPI passou a abranger, também, a intensificação das hostilidades e da violência associadas a esses acontecimentos (State of Palestine | International Criminal Court, </w:t>
      </w:r>
      <w:r w:rsidDel="00000000" w:rsidR="00000000" w:rsidRPr="00000000">
        <w:rPr>
          <w:rFonts w:ascii="Times New Roman" w:cs="Times New Roman" w:eastAsia="Times New Roman" w:hAnsi="Times New Roman"/>
          <w:i w:val="1"/>
          <w:iCs w:val="1"/>
          <w:sz w:val="24"/>
          <w:szCs w:val="24"/>
          <w:rtl w:val="0"/>
        </w:rPr>
        <w:t xml:space="preserve">[S.d.]</w:t>
      </w: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1C">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âmbito desta investigação, o Gabinete do Procurador apresentou de forma simultânea, pedidos de mandados de detenção contra líderes do Hamas e altos integrantes do governo israelense, os quais resultaram na emissão de ordens pela Câmara de Questões Preliminares, em razão de alegadas violações graves do direito internacional humanitário e do direito penal internacional (State of Palestine | International Criminal Court,  </w:t>
      </w:r>
      <w:r w:rsidDel="00000000" w:rsidR="00000000" w:rsidRPr="00000000">
        <w:rPr>
          <w:rFonts w:ascii="Times New Roman" w:cs="Times New Roman" w:eastAsia="Times New Roman" w:hAnsi="Times New Roman"/>
          <w:i w:val="1"/>
          <w:iCs w:val="1"/>
          <w:sz w:val="24"/>
          <w:szCs w:val="24"/>
          <w:rtl w:val="0"/>
        </w:rPr>
        <w:t xml:space="preserve">[S.d.]</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D">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Em relação ao Hamas, os pedidos dizem respeito a Yahya Sinwar, Mohammed Deif e Ismail Haniyeh, lideranças centrais do grupo, aos quais o Procurador atribuiu responsabilidade por ataques perpetrados a partir de 7 de outubro de 2023, caracterizados por atos de violência grave e morte de civis israelenses (State of Palestine | International Criminal Court, </w:t>
      </w:r>
      <w:r w:rsidDel="00000000" w:rsidR="00000000" w:rsidRPr="00000000">
        <w:rPr>
          <w:rFonts w:ascii="Times New Roman" w:cs="Times New Roman" w:eastAsia="Times New Roman" w:hAnsi="Times New Roman"/>
          <w:i w:val="1"/>
          <w:iCs w:val="1"/>
          <w:sz w:val="24"/>
          <w:szCs w:val="24"/>
          <w:rtl w:val="0"/>
        </w:rPr>
        <w:t xml:space="preserve">[S.d.]</w:t>
      </w:r>
      <w:r w:rsidDel="00000000" w:rsidR="00000000" w:rsidRPr="00000000">
        <w:rPr>
          <w:rFonts w:ascii="Times New Roman" w:cs="Times New Roman" w:eastAsia="Times New Roman" w:hAnsi="Times New Roman"/>
          <w:sz w:val="24"/>
          <w:szCs w:val="24"/>
          <w:rtl w:val="0"/>
        </w:rPr>
        <w:t xml:space="preserve">). As condutas foram qualificadas, em síntese, como crimes contra a humanidade, incluindo extermínio, assassinato e outros atos desumanos, bem como como crimes de guerra, notadamente assassinato, tomada de reféns, violência sexual, tortura, tratamento cruel e ultrajes à dignidade pessoal, nos termos dos artigos 7 e 8 do Estatuto de Roma (State of Palestine | International Criminal Court, </w:t>
      </w:r>
      <w:r w:rsidDel="00000000" w:rsidR="00000000" w:rsidRPr="00000000">
        <w:rPr>
          <w:rFonts w:ascii="Times New Roman" w:cs="Times New Roman" w:eastAsia="Times New Roman" w:hAnsi="Times New Roman"/>
          <w:i w:val="1"/>
          <w:iCs w:val="1"/>
          <w:sz w:val="24"/>
          <w:szCs w:val="24"/>
          <w:rtl w:val="0"/>
        </w:rPr>
        <w:t xml:space="preserve">[S.d.]</w:t>
      </w:r>
      <w:r w:rsidDel="00000000" w:rsidR="00000000" w:rsidRPr="00000000">
        <w:rPr>
          <w:rFonts w:ascii="Times New Roman" w:cs="Times New Roman" w:eastAsia="Times New Roman" w:hAnsi="Times New Roman"/>
          <w:sz w:val="24"/>
          <w:szCs w:val="24"/>
          <w:rtl w:val="0"/>
        </w:rPr>
        <w:t xml:space="preserve">). Contudo, posteriormente, esses indivíduos vieram a falecer no decorrer do conflito, o que extingue a persecução penal individual perante o TPI.</w:t>
      </w:r>
    </w:p>
    <w:p w:rsidR="00000000" w:rsidDel="00000000" w:rsidP="00000000" w:rsidRDefault="00000000" w:rsidRPr="00000000" w14:paraId="0000001E">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Quanto aos integrantes do governo israelense, os pedidos de mandado de detenção dizem respeito a Benjamin Netanyahu, Primeiro-Ministro, e a Yoav Gallant, então Ministro da Defesa, por alegada responsabilidade de crimes cometidos no contexto das operações militares em Gaza (State of Palestine | International Criminal Court, </w:t>
      </w:r>
      <w:r w:rsidDel="00000000" w:rsidR="00000000" w:rsidRPr="00000000">
        <w:rPr>
          <w:rFonts w:ascii="Times New Roman" w:cs="Times New Roman" w:eastAsia="Times New Roman" w:hAnsi="Times New Roman"/>
          <w:i w:val="1"/>
          <w:iCs w:val="1"/>
          <w:sz w:val="24"/>
          <w:szCs w:val="24"/>
          <w:rtl w:val="0"/>
        </w:rPr>
        <w:t xml:space="preserve">[S.d.]</w:t>
      </w:r>
      <w:r w:rsidDel="00000000" w:rsidR="00000000" w:rsidRPr="00000000">
        <w:rPr>
          <w:rFonts w:ascii="Times New Roman" w:cs="Times New Roman" w:eastAsia="Times New Roman" w:hAnsi="Times New Roman"/>
          <w:sz w:val="24"/>
          <w:szCs w:val="24"/>
          <w:rtl w:val="0"/>
        </w:rPr>
        <w:t xml:space="preserve">). As condutas imputadas incluem, essencialmente, crimes de guerra, como o uso da fome da população civil como método de guerra e a realização de ataques dirigidos contra civis, bem como crimes contra a humanidade, incluindo extermínio, assassinato, perseguição e outros atos desumanos, também puníveis nos termos dos artigos 7 e 8 do Estatuto de Roma (State of Palestine | International Criminal Court, </w:t>
      </w:r>
      <w:r w:rsidDel="00000000" w:rsidR="00000000" w:rsidRPr="00000000">
        <w:rPr>
          <w:rFonts w:ascii="Times New Roman" w:cs="Times New Roman" w:eastAsia="Times New Roman" w:hAnsi="Times New Roman"/>
          <w:i w:val="1"/>
          <w:iCs w:val="1"/>
          <w:sz w:val="24"/>
          <w:szCs w:val="24"/>
          <w:rtl w:val="0"/>
        </w:rPr>
        <w:t xml:space="preserve">[S.d.]</w:t>
      </w:r>
      <w:r w:rsidDel="00000000" w:rsidR="00000000" w:rsidRPr="00000000">
        <w:rPr>
          <w:rFonts w:ascii="Times New Roman" w:cs="Times New Roman" w:eastAsia="Times New Roman" w:hAnsi="Times New Roman"/>
          <w:sz w:val="24"/>
          <w:szCs w:val="24"/>
          <w:rtl w:val="0"/>
        </w:rPr>
        <w:t xml:space="preserve">).</w:t>
      </w:r>
    </w:p>
    <w:p w:rsidR="00000000" w:rsidDel="00000000" w:rsidP="00000000" w:rsidRDefault="00000000" w:rsidRPr="00000000" w14:paraId="0000001F">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Ao apresentar pedidos de mandados de detenção relativos a ambas as partes do conflito, o Procurador ressaltou a importância da aplicação imparcial do direito internacional penal, advertindo que a percepção de seletividade na aplicação da lei comprometeria a legitimidade e a própria eficácia do sistema (International Criminal Court, 2024).</w:t>
      </w:r>
    </w:p>
    <w:p w:rsidR="00000000" w:rsidDel="00000000" w:rsidP="00000000" w:rsidRDefault="00000000" w:rsidRPr="00000000" w14:paraId="00000020">
      <w:pPr>
        <w:pStyle w:val="Heading1"/>
        <w:ind w:left="0" w:firstLine="0"/>
        <w:jc w:val="both"/>
        <w:rPr>
          <w:rFonts w:ascii="Times New Roman" w:cs="Times New Roman" w:eastAsia="Times New Roman" w:hAnsi="Times New Roman"/>
          <w:b w:val="1"/>
          <w:bCs w:val="1"/>
          <w:sz w:val="24"/>
          <w:szCs w:val="24"/>
        </w:rPr>
      </w:pPr>
      <w:bookmarkStart w:colFirst="0" w:colLast="0" w:name="_heading=h.2mzqwc6rhw6s" w:id="4"/>
      <w:bookmarkEnd w:id="4"/>
      <w:r w:rsidDel="00000000" w:rsidR="00000000" w:rsidRPr="00000000">
        <w:rPr>
          <w:rFonts w:ascii="Times New Roman" w:cs="Times New Roman" w:eastAsia="Times New Roman" w:hAnsi="Times New Roman"/>
          <w:b w:val="1"/>
          <w:bCs w:val="1"/>
          <w:sz w:val="24"/>
          <w:szCs w:val="24"/>
          <w:rtl w:val="0"/>
        </w:rPr>
        <w:t xml:space="preserve">III - A CAUTELA NA APLICAÇÃO DA TIPIFICAÇÃO DE GENOCÍDIO NOS CASOS DA UCRÂNIA E DE GAZA: O PAPEL E OS LIMITES DA CATEGORIA GENOCÍDIO</w:t>
      </w:r>
    </w:p>
    <w:p w:rsidR="00000000" w:rsidDel="00000000" w:rsidP="00000000" w:rsidRDefault="00000000" w:rsidRPr="00000000" w14:paraId="00000021">
      <w:pPr>
        <w:spacing w:after="0" w:before="240" w:line="360" w:lineRule="auto"/>
        <w:ind w:firstLine="36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Embora o TPI tenha conduzido sua atuação nos conflitos da Ucrânia e da Palestina em conformidade com as balizas jurídico-institucionais previstas no Estatuto de Roma, qualificando, até o momento, as condutas analisadas predominantemente como crimes de guerra, tais contextos têm suscitado um debate jurídico relevante acerca da possibilidade de enquadramento alternativo dessas condutas, como crime de genocídio. A não aplicação dessa tipificação nas acusações formuladas pelo Tribunal constitui, essencialmente, uma escolha institucional de cautela, como será exposto a seguir.</w:t>
      </w:r>
      <w:r w:rsidDel="00000000" w:rsidR="00000000" w:rsidRPr="00000000">
        <w:rPr>
          <w:rtl w:val="0"/>
        </w:rPr>
      </w:r>
    </w:p>
    <w:p w:rsidR="00000000" w:rsidDel="00000000" w:rsidP="00000000" w:rsidRDefault="00000000" w:rsidRPr="00000000" w14:paraId="00000022">
      <w:pPr>
        <w:spacing w:before="0"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crime de genocídio surgiu a partir da elaboração conceitual desenvolvida pelo jurista polonês Raphael Lemkin. Em sua obra mais conhecida, </w:t>
      </w:r>
      <w:r w:rsidDel="00000000" w:rsidR="00000000" w:rsidRPr="00000000">
        <w:rPr>
          <w:rFonts w:ascii="Times New Roman" w:cs="Times New Roman" w:eastAsia="Times New Roman" w:hAnsi="Times New Roman"/>
          <w:i w:val="1"/>
          <w:iCs w:val="1"/>
          <w:sz w:val="24"/>
          <w:szCs w:val="24"/>
          <w:rtl w:val="0"/>
        </w:rPr>
        <w:t xml:space="preserve">Axis Rule in Occupied Europe</w:t>
      </w:r>
      <w:r w:rsidDel="00000000" w:rsidR="00000000" w:rsidRPr="00000000">
        <w:rPr>
          <w:rFonts w:ascii="Times New Roman" w:cs="Times New Roman" w:eastAsia="Times New Roman" w:hAnsi="Times New Roman"/>
          <w:sz w:val="24"/>
          <w:szCs w:val="24"/>
          <w:rtl w:val="0"/>
        </w:rPr>
        <w:t xml:space="preserve">, Lemkin cunhou o termo “genocídio”, derivado da palavra grega </w:t>
      </w:r>
      <w:r w:rsidDel="00000000" w:rsidR="00000000" w:rsidRPr="00000000">
        <w:rPr>
          <w:rFonts w:ascii="Times New Roman" w:cs="Times New Roman" w:eastAsia="Times New Roman" w:hAnsi="Times New Roman"/>
          <w:i w:val="1"/>
          <w:iCs w:val="1"/>
          <w:sz w:val="24"/>
          <w:szCs w:val="24"/>
          <w:rtl w:val="0"/>
        </w:rPr>
        <w:t xml:space="preserve">genos</w:t>
      </w:r>
      <w:r w:rsidDel="00000000" w:rsidR="00000000" w:rsidRPr="00000000">
        <w:rPr>
          <w:rFonts w:ascii="Times New Roman" w:cs="Times New Roman" w:eastAsia="Times New Roman" w:hAnsi="Times New Roman"/>
          <w:sz w:val="24"/>
          <w:szCs w:val="24"/>
          <w:rtl w:val="0"/>
        </w:rPr>
        <w:t xml:space="preserve"> (raça ou tribo) e do sufixo latino </w:t>
      </w:r>
      <w:r w:rsidDel="00000000" w:rsidR="00000000" w:rsidRPr="00000000">
        <w:rPr>
          <w:rFonts w:ascii="Times New Roman" w:cs="Times New Roman" w:eastAsia="Times New Roman" w:hAnsi="Times New Roman"/>
          <w:i w:val="1"/>
          <w:iCs w:val="1"/>
          <w:sz w:val="24"/>
          <w:szCs w:val="24"/>
          <w:rtl w:val="0"/>
        </w:rPr>
        <w:t xml:space="preserve">cide</w:t>
      </w:r>
      <w:r w:rsidDel="00000000" w:rsidR="00000000" w:rsidRPr="00000000">
        <w:rPr>
          <w:rFonts w:ascii="Times New Roman" w:cs="Times New Roman" w:eastAsia="Times New Roman" w:hAnsi="Times New Roman"/>
          <w:sz w:val="24"/>
          <w:szCs w:val="24"/>
          <w:rtl w:val="0"/>
        </w:rPr>
        <w:t xml:space="preserve"> (matar) (Lemkin, 1944, p. 79). Escrita em 1944 e profundamente marcada pelos acontecimentos em curso da Segunda Guerra Mundial, em especial pelo extermínio dos judeus europeus durante o Holocausto, a obra oferece uma análise detalhada das formas pelas quais o regime nazista implementou sua política genocida. Para tanto, Lemkin identifica oito técnicas de genocídio: política, social, cultural, econômica, biológica, física, religiosa e moral, evidenciando que, em sua concepção, o genocídio não se limitava a atos de violência física direta (Lemkin, 1944, p. 82). Conforme formulado pelo próprio autor, tratava-se de “um plano coordenado de diferentes ações destinadas à destruição das bases essenciais da vida de grupos nacionais, com o objetivo de aniquilar os próprios grupos” (Lemkin, 1944, p. 79).</w:t>
      </w:r>
    </w:p>
    <w:p w:rsidR="00000000" w:rsidDel="00000000" w:rsidP="00000000" w:rsidRDefault="00000000" w:rsidRPr="00000000" w14:paraId="00000023">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 obra de Raphael Lemkin foi fundamental para o início das negociações que culminariam na elaboração da Convenção para a Prevenção e a Repressão do Crime de Genocídio (Covenção do Genocídio), aprovada pela Assembleia Geral da ONU, em 1948.  Apesar dessa influência, o conceito de genocídio consagrado pela Convenção de 1948 adotou uma formulação significativamente mais restrita do que aquela originalmente teorizada por Lemkin. Enquanto o autor compreendia o genocídio como um processo amplo de destruição das bases essenciais da vida de um grupo, os Estados optaram por conferir à Convenção uma definição mais restrita, concentrada essencialmente na destruição física e biológica dos grupos protegidos (Schabas, 2009).</w:t>
      </w:r>
    </w:p>
    <w:p w:rsidR="00000000" w:rsidDel="00000000" w:rsidP="00000000" w:rsidRDefault="00000000" w:rsidRPr="00000000" w14:paraId="00000024">
      <w:pPr>
        <w:spacing w:line="360" w:lineRule="auto"/>
        <w:ind w:firstLine="72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rtl w:val="0"/>
        </w:rPr>
        <w:t xml:space="preserve">Essa opção normativa é refletida diretamente no artigo II da Convenção, cujas alíneas (a) a (d) concentram-se em condutas que implicam a eliminação física ou biológica do grupo, a saber: (a) matar membros do grupo; (b) causar ofensas graves à integridade física ou mental de seus membros; (c) submeter deliberadamente o grupo a condições de vida com vista a provocar sua destruição física total ou parcial; e (d) impor medidas destinadas a impedir nascimentos no seio do grupo (Organização das Nações Unidas, 1948). Apenas a alínea (e), relativa à transferência forçada de crianças de um grupo para outro, preserva, de forma residual, aquilo que a doutrina identifica como a única forma de “genocídio cultural” juridicamente aceitável no âmbito da Convenção, como remanescente da formulação original proposta por Lemkin (Guilfoyle, 2016, p. 288).</w:t>
      </w:r>
      <w:r w:rsidDel="00000000" w:rsidR="00000000" w:rsidRPr="00000000">
        <w:rPr>
          <w:rtl w:val="0"/>
        </w:rPr>
      </w:r>
    </w:p>
    <w:p w:rsidR="00000000" w:rsidDel="00000000" w:rsidP="00000000" w:rsidRDefault="00000000" w:rsidRPr="00000000" w14:paraId="00000025">
      <w:pPr>
        <w:spacing w:line="360" w:lineRule="auto"/>
        <w:ind w:firstLine="720"/>
        <w:jc w:val="both"/>
        <w:rPr>
          <w:rFonts w:ascii="Times New Roman" w:cs="Times New Roman" w:eastAsia="Times New Roman" w:hAnsi="Times New Roman"/>
          <w:sz w:val="24"/>
          <w:szCs w:val="24"/>
          <w:highlight w:val="white"/>
        </w:rPr>
      </w:pPr>
      <w:r w:rsidDel="00000000" w:rsidR="00000000" w:rsidRPr="00000000">
        <w:rPr>
          <w:rFonts w:ascii="Times New Roman" w:cs="Times New Roman" w:eastAsia="Times New Roman" w:hAnsi="Times New Roman"/>
          <w:sz w:val="24"/>
          <w:szCs w:val="24"/>
          <w:highlight w:val="white"/>
          <w:rtl w:val="0"/>
        </w:rPr>
        <w:t xml:space="preserve">No âmbito do TPI, o artigo 6º do Estatuto de Roma incorpora o crime de genocídio tal como consagrado pela Convenção sobre Genocídio, de 1948. A configuração desse crime exige a demonstração concomitante de um elemento material (</w:t>
      </w:r>
      <w:r w:rsidDel="00000000" w:rsidR="00000000" w:rsidRPr="00000000">
        <w:rPr>
          <w:rFonts w:ascii="Times New Roman" w:cs="Times New Roman" w:eastAsia="Times New Roman" w:hAnsi="Times New Roman"/>
          <w:i w:val="1"/>
          <w:iCs w:val="1"/>
          <w:sz w:val="24"/>
          <w:szCs w:val="24"/>
          <w:highlight w:val="white"/>
          <w:rtl w:val="0"/>
        </w:rPr>
        <w:t xml:space="preserve">actus reus</w:t>
      </w:r>
      <w:r w:rsidDel="00000000" w:rsidR="00000000" w:rsidRPr="00000000">
        <w:rPr>
          <w:rFonts w:ascii="Times New Roman" w:cs="Times New Roman" w:eastAsia="Times New Roman" w:hAnsi="Times New Roman"/>
          <w:sz w:val="24"/>
          <w:szCs w:val="24"/>
          <w:highlight w:val="white"/>
          <w:rtl w:val="0"/>
        </w:rPr>
        <w:t xml:space="preserve">) e de um elemento subjetivo (</w:t>
      </w:r>
      <w:r w:rsidDel="00000000" w:rsidR="00000000" w:rsidRPr="00000000">
        <w:rPr>
          <w:rFonts w:ascii="Times New Roman" w:cs="Times New Roman" w:eastAsia="Times New Roman" w:hAnsi="Times New Roman"/>
          <w:i w:val="1"/>
          <w:iCs w:val="1"/>
          <w:sz w:val="24"/>
          <w:szCs w:val="24"/>
          <w:highlight w:val="white"/>
          <w:rtl w:val="0"/>
        </w:rPr>
        <w:t xml:space="preserve">mens rea</w:t>
      </w:r>
      <w:r w:rsidDel="00000000" w:rsidR="00000000" w:rsidRPr="00000000">
        <w:rPr>
          <w:rFonts w:ascii="Times New Roman" w:cs="Times New Roman" w:eastAsia="Times New Roman" w:hAnsi="Times New Roman"/>
          <w:sz w:val="24"/>
          <w:szCs w:val="24"/>
          <w:highlight w:val="white"/>
          <w:rtl w:val="0"/>
        </w:rPr>
        <w:t xml:space="preserve">). As condutas típicas que compõem o </w:t>
      </w:r>
      <w:r w:rsidDel="00000000" w:rsidR="00000000" w:rsidRPr="00000000">
        <w:rPr>
          <w:rFonts w:ascii="Times New Roman" w:cs="Times New Roman" w:eastAsia="Times New Roman" w:hAnsi="Times New Roman"/>
          <w:i w:val="1"/>
          <w:iCs w:val="1"/>
          <w:sz w:val="24"/>
          <w:szCs w:val="24"/>
          <w:highlight w:val="white"/>
          <w:rtl w:val="0"/>
        </w:rPr>
        <w:t xml:space="preserve">actus reus</w:t>
      </w:r>
      <w:r w:rsidDel="00000000" w:rsidR="00000000" w:rsidRPr="00000000">
        <w:rPr>
          <w:rFonts w:ascii="Times New Roman" w:cs="Times New Roman" w:eastAsia="Times New Roman" w:hAnsi="Times New Roman"/>
          <w:sz w:val="24"/>
          <w:szCs w:val="24"/>
          <w:highlight w:val="white"/>
          <w:rtl w:val="0"/>
        </w:rPr>
        <w:t xml:space="preserve"> encontram-se elencadas nas alíneas do artigo II da Convenção, reproduzidas no Estatuto, enquanto o elemento subjetivo específico consiste na intenção de destruir, no todo ou em parte, um grupo nacional, étnico, racial ou religioso, enquanto tal </w:t>
      </w:r>
      <w:r w:rsidDel="00000000" w:rsidR="00000000" w:rsidRPr="00000000">
        <w:rPr>
          <w:rFonts w:ascii="Times New Roman" w:cs="Times New Roman" w:eastAsia="Times New Roman" w:hAnsi="Times New Roman"/>
          <w:sz w:val="24"/>
          <w:szCs w:val="24"/>
          <w:rtl w:val="0"/>
        </w:rPr>
        <w:t xml:space="preserve">(Guilfoyle, 2016, p. 282)</w:t>
      </w:r>
      <w:r w:rsidDel="00000000" w:rsidR="00000000" w:rsidRPr="00000000">
        <w:rPr>
          <w:rFonts w:ascii="Times New Roman" w:cs="Times New Roman" w:eastAsia="Times New Roman" w:hAnsi="Times New Roman"/>
          <w:sz w:val="24"/>
          <w:szCs w:val="24"/>
          <w:highlight w:val="white"/>
          <w:rtl w:val="0"/>
        </w:rPr>
        <w:t xml:space="preserve">. A qualificação jurídica como genocídio requer, assim, não apenas a prática intencional do ato proibido, mas a demonstração dessa intenção especial, também denominada </w:t>
      </w:r>
      <w:r w:rsidDel="00000000" w:rsidR="00000000" w:rsidRPr="00000000">
        <w:rPr>
          <w:rFonts w:ascii="Times New Roman" w:cs="Times New Roman" w:eastAsia="Times New Roman" w:hAnsi="Times New Roman"/>
          <w:i w:val="1"/>
          <w:iCs w:val="1"/>
          <w:sz w:val="24"/>
          <w:szCs w:val="24"/>
          <w:highlight w:val="white"/>
          <w:rtl w:val="0"/>
        </w:rPr>
        <w:t xml:space="preserve">dolus specialis</w:t>
      </w:r>
      <w:r w:rsidDel="00000000" w:rsidR="00000000" w:rsidRPr="00000000">
        <w:rPr>
          <w:rFonts w:ascii="Times New Roman" w:cs="Times New Roman" w:eastAsia="Times New Roman" w:hAnsi="Times New Roman"/>
          <w:sz w:val="24"/>
          <w:szCs w:val="24"/>
          <w:highlight w:val="white"/>
          <w:rtl w:val="0"/>
        </w:rPr>
        <w:t xml:space="preserve"> </w:t>
      </w:r>
      <w:r w:rsidDel="00000000" w:rsidR="00000000" w:rsidRPr="00000000">
        <w:rPr>
          <w:rFonts w:ascii="Times New Roman" w:cs="Times New Roman" w:eastAsia="Times New Roman" w:hAnsi="Times New Roman"/>
          <w:sz w:val="24"/>
          <w:szCs w:val="24"/>
          <w:rtl w:val="0"/>
        </w:rPr>
        <w:t xml:space="preserve">(Schabas, 2009, p. 260)</w:t>
      </w:r>
      <w:r w:rsidDel="00000000" w:rsidR="00000000" w:rsidRPr="00000000">
        <w:rPr>
          <w:rFonts w:ascii="Times New Roman" w:cs="Times New Roman" w:eastAsia="Times New Roman" w:hAnsi="Times New Roman"/>
          <w:sz w:val="24"/>
          <w:szCs w:val="24"/>
          <w:highlight w:val="white"/>
          <w:rtl w:val="0"/>
        </w:rPr>
        <w:t xml:space="preserve">. Ausente esse elemento, a conduta permanece punível, embora não como genocídio, podendo ser qualificada como crime de guerra, crime contra a humanidade ou, simplesmente, um crime comum </w:t>
      </w:r>
      <w:r w:rsidDel="00000000" w:rsidR="00000000" w:rsidRPr="00000000">
        <w:rPr>
          <w:rFonts w:ascii="Times New Roman" w:cs="Times New Roman" w:eastAsia="Times New Roman" w:hAnsi="Times New Roman"/>
          <w:sz w:val="24"/>
          <w:szCs w:val="24"/>
          <w:rtl w:val="0"/>
        </w:rPr>
        <w:t xml:space="preserve">(Schabas, 2009, p. 257)</w:t>
      </w:r>
      <w:r w:rsidDel="00000000" w:rsidR="00000000" w:rsidRPr="00000000">
        <w:rPr>
          <w:rFonts w:ascii="Times New Roman" w:cs="Times New Roman" w:eastAsia="Times New Roman" w:hAnsi="Times New Roman"/>
          <w:sz w:val="24"/>
          <w:szCs w:val="24"/>
          <w:highlight w:val="white"/>
          <w:rtl w:val="0"/>
        </w:rPr>
        <w:t xml:space="preserve">.</w:t>
      </w:r>
    </w:p>
    <w:p w:rsidR="00000000" w:rsidDel="00000000" w:rsidP="00000000" w:rsidRDefault="00000000" w:rsidRPr="00000000" w14:paraId="00000026">
      <w:pPr>
        <w:spacing w:line="360" w:lineRule="auto"/>
        <w:ind w:firstLine="720"/>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sz w:val="24"/>
          <w:szCs w:val="24"/>
          <w:rtl w:val="0"/>
        </w:rPr>
        <w:t xml:space="preserve">A jurisprudência dos tribunais internacionais tem reconhecido que a prova do </w:t>
      </w:r>
      <w:r w:rsidDel="00000000" w:rsidR="00000000" w:rsidRPr="00000000">
        <w:rPr>
          <w:rFonts w:ascii="Times New Roman" w:cs="Times New Roman" w:eastAsia="Times New Roman" w:hAnsi="Times New Roman"/>
          <w:i w:val="1"/>
          <w:iCs w:val="1"/>
          <w:sz w:val="24"/>
          <w:szCs w:val="24"/>
          <w:rtl w:val="0"/>
        </w:rPr>
        <w:t xml:space="preserve">dolus specialis</w:t>
      </w:r>
      <w:r w:rsidDel="00000000" w:rsidR="00000000" w:rsidRPr="00000000">
        <w:rPr>
          <w:rFonts w:ascii="Times New Roman" w:cs="Times New Roman" w:eastAsia="Times New Roman" w:hAnsi="Times New Roman"/>
          <w:sz w:val="24"/>
          <w:szCs w:val="24"/>
          <w:rtl w:val="0"/>
        </w:rPr>
        <w:t xml:space="preserve"> raramente decorre de evidências diretas, como ordens expressas ou confissões, admitindo, por essa razão, que a intenção genocida seja demonstrada por inferência a partir de circunstâncias fáticas objetivas. Conforme observado por Schabas, essa inferência deve resultar de um conjunto de elementos, tais como o padrão sistemático de condutas, a escala e a natureza dos atos praticados, bem como declarações ou políticas atribuíveis às autoridades responsáveis, capazes de sustentar a intenção de destruir o grupo protegido como a única inferência razoável extraída do conjunto probatório (Schabas, 2009, p. 265).</w:t>
      </w:r>
      <w:r w:rsidDel="00000000" w:rsidR="00000000" w:rsidRPr="00000000">
        <w:rPr>
          <w:rtl w:val="0"/>
        </w:rPr>
      </w:r>
    </w:p>
    <w:p w:rsidR="00000000" w:rsidDel="00000000" w:rsidP="00000000" w:rsidRDefault="00000000" w:rsidRPr="00000000" w14:paraId="00000027">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contexto do conflito armado na Ucrânia, a discussão acerca da possível qualificação de determinados atos como genocídio tem adquirido especial relevo. A doutrina tem sustentado que condutas atribuídas às forças russas levadas a cabo desde o início da invasão à Ucrânia, configuram transferência forçada de crianças ucranianas para a Rússia, ato suscetível de constituir genocídio, nos termos do artigo II, alínea (e), da Convenção sobre Genocídio, e do artigo 6º do Estatuto de Roma do TPI (Ioffe, 2023).</w:t>
      </w:r>
    </w:p>
    <w:p w:rsidR="00000000" w:rsidDel="00000000" w:rsidP="00000000" w:rsidRDefault="00000000" w:rsidRPr="00000000" w14:paraId="00000028">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highlight w:val="white"/>
          <w:rtl w:val="0"/>
        </w:rPr>
        <w:t xml:space="preserve">A transferência de crianças ucranianas ocorreu no contexto de uma política organizada do Estado russo de sequestro ou remoção de menores, sem o consentimento de seus pais ou representantes legais, frequentemente apresentada sob o pretexto humanitário de evacuações de áreas afetadas pelo conflito</w:t>
      </w:r>
      <w:r w:rsidDel="00000000" w:rsidR="00000000" w:rsidRPr="00000000">
        <w:rPr>
          <w:rFonts w:ascii="Times New Roman" w:cs="Times New Roman" w:eastAsia="Times New Roman" w:hAnsi="Times New Roman"/>
          <w:sz w:val="24"/>
          <w:szCs w:val="24"/>
          <w:rtl w:val="0"/>
        </w:rPr>
        <w:t xml:space="preserve"> (Ioffe, 2023, p. 325–328). Essas ações foram confirmadas pela própria Comissária para os Direitos da Criança da Rússia, em declarações públicas (Commissioner Lvova-Belova, 2022).</w:t>
      </w:r>
    </w:p>
    <w:p w:rsidR="00000000" w:rsidDel="00000000" w:rsidP="00000000" w:rsidRDefault="00000000" w:rsidRPr="00000000" w14:paraId="00000029">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Segundo a comissão de inquérito sobre a Ucrânia, instituída pelo Conselho de Direitos Humanos da ONU, uma ampla gama de atos de coerção foi empregada para viabilizar essas transferências (UN OHCHR, 2023, p. 15). Nos territórios ocupados, há relatos de separações deliberadas de crianças de seus pais no contexto de operações conduzidas por forças russas, assim como da retirada de crianças de instituições, incluindo hospitais e orfanatos (UN OHCHR, 2023). Em outros casos, crianças foram afastadas de suas famílias após a detenção de um dos genitores em procedimentos de “filtragem”, utilizados para avaliar a suposta lealdade política dos indivíduos ao regime do Presidente Vladimir Putin. (UN OHCHR, 2023, par. 97)</w:t>
      </w:r>
    </w:p>
    <w:p w:rsidR="00000000" w:rsidDel="00000000" w:rsidP="00000000" w:rsidRDefault="00000000" w:rsidRPr="00000000" w14:paraId="0000002A">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Essas práticas foram operacionalizadas por meio da adoção de medidas legislativas e administrativas pelo governo russo, como a simplificação dos procedimentos para a concessão da nacionalidade russa a menores ucranianos e o incentivo à sua adoção por famílias russas, inclusive mediante o pagamento de benefícios financeiros (Krechetova, 2022). Dados oficialmente registrados pela Ucrânia apontam cerca de 20 mil crianças transferidas, ao passo que estimativas não oficiais indicam que o total possa exceder 200 mil (AP, 2022).</w:t>
      </w:r>
    </w:p>
    <w:p w:rsidR="00000000" w:rsidDel="00000000" w:rsidP="00000000" w:rsidRDefault="00000000" w:rsidRPr="00000000" w14:paraId="0000002B">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caso ucraniano, os fatos documentados têm sido apontados como indícios capazes de satisfazer o elemento material (</w:t>
      </w:r>
      <w:r w:rsidDel="00000000" w:rsidR="00000000" w:rsidRPr="00000000">
        <w:rPr>
          <w:rFonts w:ascii="Times New Roman" w:cs="Times New Roman" w:eastAsia="Times New Roman" w:hAnsi="Times New Roman"/>
          <w:i w:val="1"/>
          <w:iCs w:val="1"/>
          <w:sz w:val="24"/>
          <w:szCs w:val="24"/>
          <w:rtl w:val="0"/>
        </w:rPr>
        <w:t xml:space="preserve">actus reus</w:t>
      </w:r>
      <w:r w:rsidDel="00000000" w:rsidR="00000000" w:rsidRPr="00000000">
        <w:rPr>
          <w:rFonts w:ascii="Times New Roman" w:cs="Times New Roman" w:eastAsia="Times New Roman" w:hAnsi="Times New Roman"/>
          <w:sz w:val="24"/>
          <w:szCs w:val="24"/>
          <w:rtl w:val="0"/>
        </w:rPr>
        <w:t xml:space="preserve">), especialmente no que se refere à transferência forçada de crianças. A doutrina tem sustentado que o </w:t>
      </w:r>
      <w:r w:rsidDel="00000000" w:rsidR="00000000" w:rsidRPr="00000000">
        <w:rPr>
          <w:rFonts w:ascii="Times New Roman" w:cs="Times New Roman" w:eastAsia="Times New Roman" w:hAnsi="Times New Roman"/>
          <w:i w:val="1"/>
          <w:iCs w:val="1"/>
          <w:sz w:val="24"/>
          <w:szCs w:val="24"/>
          <w:rtl w:val="0"/>
        </w:rPr>
        <w:t xml:space="preserve">dolus specialis</w:t>
      </w:r>
      <w:r w:rsidDel="00000000" w:rsidR="00000000" w:rsidRPr="00000000">
        <w:rPr>
          <w:rFonts w:ascii="Times New Roman" w:cs="Times New Roman" w:eastAsia="Times New Roman" w:hAnsi="Times New Roman"/>
          <w:sz w:val="24"/>
          <w:szCs w:val="24"/>
          <w:rtl w:val="0"/>
        </w:rPr>
        <w:t xml:space="preserve"> no caso da transferência forçada de crianças pode ser inferido tanto da própria natureza desses atos, </w:t>
      </w:r>
      <w:r w:rsidDel="00000000" w:rsidR="00000000" w:rsidRPr="00000000">
        <w:rPr>
          <w:rFonts w:ascii="Times New Roman" w:cs="Times New Roman" w:eastAsia="Times New Roman" w:hAnsi="Times New Roman"/>
          <w:i w:val="1"/>
          <w:iCs w:val="1"/>
          <w:sz w:val="24"/>
          <w:szCs w:val="24"/>
          <w:rtl w:val="0"/>
        </w:rPr>
        <w:t xml:space="preserve">per se</w:t>
      </w:r>
      <w:r w:rsidDel="00000000" w:rsidR="00000000" w:rsidRPr="00000000">
        <w:rPr>
          <w:rFonts w:ascii="Times New Roman" w:cs="Times New Roman" w:eastAsia="Times New Roman" w:hAnsi="Times New Roman"/>
          <w:sz w:val="24"/>
          <w:szCs w:val="24"/>
          <w:rtl w:val="0"/>
        </w:rPr>
        <w:t xml:space="preserve">, quanto da comprovação de que eles integram um plano mais amplo voltado à destruição do grupo protegido (Ioffe, 2023, p. 336).</w:t>
      </w:r>
    </w:p>
    <w:p w:rsidR="00000000" w:rsidDel="00000000" w:rsidP="00000000" w:rsidRDefault="00000000" w:rsidRPr="00000000" w14:paraId="0000002C">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primeiro caso, a jurisprudência consolidada dos tribunais internacionais reconhece que o termo “destruir” se refere exclusivamente à destruição física e/ou biológica do grupo protegido, não abrangendo outras formas de destruição, como cultural, por exemplo. Nessa perspectiva, a demonstração do </w:t>
      </w:r>
      <w:r w:rsidDel="00000000" w:rsidR="00000000" w:rsidRPr="00000000">
        <w:rPr>
          <w:rFonts w:ascii="Times New Roman" w:cs="Times New Roman" w:eastAsia="Times New Roman" w:hAnsi="Times New Roman"/>
          <w:i w:val="1"/>
          <w:iCs w:val="1"/>
          <w:sz w:val="24"/>
          <w:szCs w:val="24"/>
          <w:rtl w:val="0"/>
        </w:rPr>
        <w:t xml:space="preserve">dolus specialis</w:t>
      </w:r>
      <w:r w:rsidDel="00000000" w:rsidR="00000000" w:rsidRPr="00000000">
        <w:rPr>
          <w:rFonts w:ascii="Times New Roman" w:cs="Times New Roman" w:eastAsia="Times New Roman" w:hAnsi="Times New Roman"/>
          <w:sz w:val="24"/>
          <w:szCs w:val="24"/>
          <w:rtl w:val="0"/>
        </w:rPr>
        <w:t xml:space="preserve"> a partir das transferências de crianças </w:t>
      </w:r>
      <w:r w:rsidDel="00000000" w:rsidR="00000000" w:rsidRPr="00000000">
        <w:rPr>
          <w:rFonts w:ascii="Times New Roman" w:cs="Times New Roman" w:eastAsia="Times New Roman" w:hAnsi="Times New Roman"/>
          <w:i w:val="1"/>
          <w:iCs w:val="1"/>
          <w:sz w:val="24"/>
          <w:szCs w:val="24"/>
          <w:rtl w:val="0"/>
        </w:rPr>
        <w:t xml:space="preserve">per se</w:t>
      </w:r>
      <w:r w:rsidDel="00000000" w:rsidR="00000000" w:rsidRPr="00000000">
        <w:rPr>
          <w:rFonts w:ascii="Times New Roman" w:cs="Times New Roman" w:eastAsia="Times New Roman" w:hAnsi="Times New Roman"/>
          <w:sz w:val="24"/>
          <w:szCs w:val="24"/>
          <w:rtl w:val="0"/>
        </w:rPr>
        <w:t xml:space="preserve"> exigiria a comprovação de que tais práticas produzem, ou são destinadas a produzir, consequências físicas ou biológicas para os membros do grupo, de modo a satisfazer esse requisito específico (Ioffe, 2023, p. 336–337).</w:t>
      </w:r>
    </w:p>
    <w:p w:rsidR="00000000" w:rsidDel="00000000" w:rsidP="00000000" w:rsidRDefault="00000000" w:rsidRPr="00000000" w14:paraId="0000002D">
      <w:pPr>
        <w:spacing w:line="360" w:lineRule="auto"/>
        <w:ind w:firstLine="720"/>
        <w:jc w:val="both"/>
        <w:rPr>
          <w:rFonts w:ascii="Times New Roman" w:cs="Times New Roman" w:eastAsia="Times New Roman" w:hAnsi="Times New Roman"/>
          <w:sz w:val="24"/>
          <w:szCs w:val="24"/>
          <w:highlight w:val="yellow"/>
        </w:rPr>
      </w:pPr>
      <w:r w:rsidDel="00000000" w:rsidR="00000000" w:rsidRPr="00000000">
        <w:rPr>
          <w:rFonts w:ascii="Times New Roman" w:cs="Times New Roman" w:eastAsia="Times New Roman" w:hAnsi="Times New Roman"/>
          <w:sz w:val="24"/>
          <w:szCs w:val="24"/>
          <w:rtl w:val="0"/>
        </w:rPr>
        <w:t xml:space="preserve">Já o caminho probatório voltado à demonstração do </w:t>
      </w:r>
      <w:r w:rsidDel="00000000" w:rsidR="00000000" w:rsidRPr="00000000">
        <w:rPr>
          <w:rFonts w:ascii="Times New Roman" w:cs="Times New Roman" w:eastAsia="Times New Roman" w:hAnsi="Times New Roman"/>
          <w:i w:val="1"/>
          <w:iCs w:val="1"/>
          <w:sz w:val="24"/>
          <w:szCs w:val="24"/>
          <w:rtl w:val="0"/>
        </w:rPr>
        <w:t xml:space="preserve">dolus specialis</w:t>
      </w:r>
      <w:r w:rsidDel="00000000" w:rsidR="00000000" w:rsidRPr="00000000">
        <w:rPr>
          <w:rFonts w:ascii="Times New Roman" w:cs="Times New Roman" w:eastAsia="Times New Roman" w:hAnsi="Times New Roman"/>
          <w:sz w:val="24"/>
          <w:szCs w:val="24"/>
          <w:rtl w:val="0"/>
        </w:rPr>
        <w:t xml:space="preserve"> a partir da existência de um plano genocida maior poderia apoiar-se na identificação de um amplo conjunto de declarações públicas de altas autoridades russas empregando linguagem desumanizante em relação ao povo ucraniano em geral. Bem como em pronunciamentos da própria Comissária Maria Lvova-Belova, em que ela afirma ter havido um trabalho prolongado e previamente planejado em relação às transferências de crianças vindas da Ucrânia, indicando a natureza deliberada dessas práticas (Ioffe, 2023, p. 339–340).</w:t>
      </w:r>
      <w:r w:rsidDel="00000000" w:rsidR="00000000" w:rsidRPr="00000000">
        <w:rPr>
          <w:rtl w:val="0"/>
        </w:rPr>
      </w:r>
    </w:p>
    <w:p w:rsidR="00000000" w:rsidDel="00000000" w:rsidP="00000000" w:rsidRDefault="00000000" w:rsidRPr="00000000" w14:paraId="0000002E">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caso da Palestina/Gaza, a alegação de genocídio baseia-se em atos atribuídos ao Estado de Israel no âmbito das operações militares conduzidas em resposta aos ataques do grupo terrorista Hamas em 7 de outubro de 2023, conforme sistematizado no relatório da comissão de inquérito para as a avaliação da legalidade das ações de Israel em Gaza do Conselho de Direitos Humanos da ONU. A alegação de genocídio fundamenta-se, sobretudo, no caráter sistemático e na intensidade das condutas atribuídas ao Estado de Israel (UN OHCHR, 2025).</w:t>
      </w:r>
    </w:p>
    <w:p w:rsidR="00000000" w:rsidDel="00000000" w:rsidP="00000000" w:rsidRDefault="00000000" w:rsidRPr="00000000" w14:paraId="0000002F">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relatório identificou indícios da prática de assassinatos em larga escala de membros do grupo palestino, resultante de operações militares que atingiram de forma massiva a população civil, bem como a inflição de danos físicos e mentais graves, decorrentes não apenas da violência direta, mas também da destruição generalizada de áreas residenciais, do deslocamento forçado da população e da exposição prolongada a condições de extrema insegurança (UN OHCHR, 2025). O relatório enfatiza, ainda, a imposição deliberada de condições de vida incompatíveis com a sobrevivência do grupo, especialmente por meio do cerco prolongado à Faixa de Gaza, da restrição sistemática ao acesso a alimentos, água potável, eletricidade, assistência médica e ajuda humanitária, bem como da ampla destruição de infraestruturas essenciais como hospitais e redes elétricas (UN OHCHR, 2025).</w:t>
      </w:r>
    </w:p>
    <w:p w:rsidR="00000000" w:rsidDel="00000000" w:rsidP="00000000" w:rsidRDefault="00000000" w:rsidRPr="00000000" w14:paraId="00000030">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Quanto ao elemento subjetivo, o relatório concluiu que existem fundamentos razoáveis para sustentar a presença da intenção de destruir, no todo ou em parte, o grupo palestino enquanto tal. Essa inferência foi construída a partir de um conjunto de evidências diretas e circunstanciais (UN OHCHR, 2025, p. 49).</w:t>
      </w:r>
    </w:p>
    <w:p w:rsidR="00000000" w:rsidDel="00000000" w:rsidP="00000000" w:rsidRDefault="00000000" w:rsidRPr="00000000" w14:paraId="00000031">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plano das evidências diretas, a comissão atribuiu importância a um conjunto significativo de declarações públicas proferidas por altas autoridades políticas e militares israelenses, nas quais a população palestina de Gaza foi descrita por meio de linguagem desumanizante, teve sua condição de população civil reiteradamente negada ou foi tratada como alvo legítimo de destruição (UN OHCHR, 2025). Tais pronunciamentos foram considerados relevantes para a verificação do </w:t>
      </w:r>
      <w:r w:rsidDel="00000000" w:rsidR="00000000" w:rsidRPr="00000000">
        <w:rPr>
          <w:rFonts w:ascii="Times New Roman" w:cs="Times New Roman" w:eastAsia="Times New Roman" w:hAnsi="Times New Roman"/>
          <w:i w:val="1"/>
          <w:iCs w:val="1"/>
          <w:sz w:val="24"/>
          <w:szCs w:val="24"/>
          <w:rtl w:val="0"/>
        </w:rPr>
        <w:t xml:space="preserve">dolus specialis</w:t>
      </w:r>
      <w:r w:rsidDel="00000000" w:rsidR="00000000" w:rsidRPr="00000000">
        <w:rPr>
          <w:rFonts w:ascii="Times New Roman" w:cs="Times New Roman" w:eastAsia="Times New Roman" w:hAnsi="Times New Roman"/>
          <w:sz w:val="24"/>
          <w:szCs w:val="24"/>
          <w:rtl w:val="0"/>
        </w:rPr>
        <w:t xml:space="preserve">, na medida em que ultrapassam a mera retórica política e indicam uma orientação deliberada das ações dos líderes do Estado de Israel, no sentido da destruição do grupo, ou de parte substancial dele (UN OHCHR, 2025).</w:t>
      </w:r>
    </w:p>
    <w:p w:rsidR="00000000" w:rsidDel="00000000" w:rsidP="00000000" w:rsidRDefault="00000000" w:rsidRPr="00000000" w14:paraId="00000032">
      <w:pPr>
        <w:spacing w:line="360" w:lineRule="auto"/>
        <w:ind w:firstLine="720"/>
        <w:jc w:val="both"/>
        <w:rPr>
          <w:rFonts w:ascii="Times New Roman" w:cs="Times New Roman" w:eastAsia="Times New Roman" w:hAnsi="Times New Roman"/>
          <w:color w:val="1b1b1c"/>
          <w:sz w:val="25"/>
          <w:szCs w:val="25"/>
          <w:highlight w:val="yellow"/>
        </w:rPr>
      </w:pPr>
      <w:r w:rsidDel="00000000" w:rsidR="00000000" w:rsidRPr="00000000">
        <w:rPr>
          <w:rFonts w:ascii="Times New Roman" w:cs="Times New Roman" w:eastAsia="Times New Roman" w:hAnsi="Times New Roman"/>
          <w:sz w:val="24"/>
          <w:szCs w:val="24"/>
          <w:rtl w:val="0"/>
        </w:rPr>
        <w:t xml:space="preserve">No plano das evidências circunstanciais, o relatório destacou a existência de um padrão consistente e prolongado de condutas que produziram efeitos devastadores sobre a população civil, incluindo a escala e a natureza dos ataques em áreas densamente povoadas, o elevado número de vítimas civis, com impacto particularmente severo sobre crianças. Além da imposição deliberada de condições de vida incompatíveis com a sobrevivência do grupo, por meio do cerco total, da restrição ao acesso a bens essenciais e do bloqueio à ajuda humanitária (UN OHCHR, 2025). Com isso, a comissão ressaltou que a persistência dessas práticas, apesar do conhecimento reiterado de seus efeitos, permite inferir que tais consequências não eram meramente incidentais ou colaterais (UN OHCHR, 2025).</w:t>
      </w:r>
      <w:r w:rsidDel="00000000" w:rsidR="00000000" w:rsidRPr="00000000">
        <w:rPr>
          <w:rtl w:val="0"/>
        </w:rPr>
      </w:r>
    </w:p>
    <w:p w:rsidR="00000000" w:rsidDel="00000000" w:rsidP="00000000" w:rsidRDefault="00000000" w:rsidRPr="00000000" w14:paraId="00000033">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 relatório da comissão de inquérito também realça a importância da decisão da Corte Internacional de Justiça no caso “África do Sul vs. Israel” (2024) de que reforça o argumento jurídico de genocídio, ao reconhecer a plausibilidade das alegações e a existência de um risco real e iminente de violação da Convenção sobre Genocídio (UN OHCHR, 2025, p. 69–70). As sucessivas ordens da Corte registraram a deterioração das condições de vida em Gaza e acionaram o dever imediato de prevenção, tendo também determinado que órgãos de investigação da ONU tenham acesso à Faixa de Gaza para apurar acusações de genocídio, autorização que Israel nunca concedeu (UN OHCHR, 2025, par. 194). O descumprimento dessas medidas é considerado pela comissão como elemento adicional para a inferência do </w:t>
      </w:r>
      <w:r w:rsidDel="00000000" w:rsidR="00000000" w:rsidRPr="00000000">
        <w:rPr>
          <w:rFonts w:ascii="Times New Roman" w:cs="Times New Roman" w:eastAsia="Times New Roman" w:hAnsi="Times New Roman"/>
          <w:i w:val="1"/>
          <w:iCs w:val="1"/>
          <w:sz w:val="24"/>
          <w:szCs w:val="24"/>
          <w:rtl w:val="0"/>
        </w:rPr>
        <w:t xml:space="preserve">dolus specialis </w:t>
      </w:r>
      <w:r w:rsidDel="00000000" w:rsidR="00000000" w:rsidRPr="00000000">
        <w:rPr>
          <w:rFonts w:ascii="Times New Roman" w:cs="Times New Roman" w:eastAsia="Times New Roman" w:hAnsi="Times New Roman"/>
          <w:sz w:val="24"/>
          <w:szCs w:val="24"/>
          <w:rtl w:val="0"/>
        </w:rPr>
        <w:t xml:space="preserve">(UN OHCHR, 2025, par. 202).</w:t>
      </w:r>
    </w:p>
    <w:p w:rsidR="00000000" w:rsidDel="00000000" w:rsidP="00000000" w:rsidRDefault="00000000" w:rsidRPr="00000000" w14:paraId="00000034">
      <w:pPr>
        <w:spacing w:before="0" w:line="360" w:lineRule="auto"/>
        <w:ind w:left="0"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Não obstante à existência de indícios significativos de genocídio nos casos da Ucrânia e da Palestina, o TPI tem adotado uma postura cautelosa quanto à qualificação jurídica dessas condutas como crime de genocídio. Essa cautela não decorre da inexistência de fundamentos jurídicos, mas dos limites estruturais inerentes à própria categoria genocídio no direito penal internacional.</w:t>
      </w:r>
    </w:p>
    <w:p w:rsidR="00000000" w:rsidDel="00000000" w:rsidP="00000000" w:rsidRDefault="00000000" w:rsidRPr="00000000" w14:paraId="00000035">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Como discutido acima, a tipificação do genocídio impõe um ônus probatório particularmente elevado, sobretudo no que se refere à demonstração do </w:t>
      </w:r>
      <w:r w:rsidDel="00000000" w:rsidR="00000000" w:rsidRPr="00000000">
        <w:rPr>
          <w:rFonts w:ascii="Times New Roman" w:cs="Times New Roman" w:eastAsia="Times New Roman" w:hAnsi="Times New Roman"/>
          <w:i w:val="1"/>
          <w:iCs w:val="1"/>
          <w:sz w:val="24"/>
          <w:szCs w:val="24"/>
          <w:rtl w:val="0"/>
        </w:rPr>
        <w:t xml:space="preserve">dolus specialis</w:t>
      </w:r>
      <w:r w:rsidDel="00000000" w:rsidR="00000000" w:rsidRPr="00000000">
        <w:rPr>
          <w:rFonts w:ascii="Times New Roman" w:cs="Times New Roman" w:eastAsia="Times New Roman" w:hAnsi="Times New Roman"/>
          <w:sz w:val="24"/>
          <w:szCs w:val="24"/>
          <w:rtl w:val="0"/>
        </w:rPr>
        <w:t xml:space="preserve">. Nesse contexto, a opção do Gabinete do Procurador do TPI por qualificar os fatos essencialmente como crimes de guerra pode ser compreendida como uma escolha estratégica e pragmática, uma vez que essa tipificação apresenta menor grau de incerteza jurídica e não exige a prova da intenção específica de destruir um grupo protegido, permitindo o avanço da responsabilização penal individual com maior segurança processual (Khen, 2024, p. 112). </w:t>
      </w:r>
    </w:p>
    <w:p w:rsidR="00000000" w:rsidDel="00000000" w:rsidP="00000000" w:rsidRDefault="00000000" w:rsidRPr="00000000" w14:paraId="00000036">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caso ucraniano, essa cautela é reforçada pela falta de jurisprudência consolidada relativa à aplicação da alínea (e) do artigo II da Convenção sobre Genocídio. Embora a transferência forçada de crianças esteja expressamente prevista como ato genocida, as tentativas de aplicação prática desse dispositivo têm sido, em grande parte, sem êxito, o que amplia as incertezas quanto à sua interpretação e à demonstração do </w:t>
      </w:r>
      <w:r w:rsidDel="00000000" w:rsidR="00000000" w:rsidRPr="00000000">
        <w:rPr>
          <w:rFonts w:ascii="Times New Roman" w:cs="Times New Roman" w:eastAsia="Times New Roman" w:hAnsi="Times New Roman"/>
          <w:i w:val="1"/>
          <w:iCs w:val="1"/>
          <w:sz w:val="24"/>
          <w:szCs w:val="24"/>
          <w:rtl w:val="0"/>
        </w:rPr>
        <w:t xml:space="preserve">dolus specialis</w:t>
      </w:r>
      <w:r w:rsidDel="00000000" w:rsidR="00000000" w:rsidRPr="00000000">
        <w:rPr>
          <w:rFonts w:ascii="Times New Roman" w:cs="Times New Roman" w:eastAsia="Times New Roman" w:hAnsi="Times New Roman"/>
          <w:sz w:val="24"/>
          <w:szCs w:val="24"/>
          <w:rtl w:val="0"/>
        </w:rPr>
        <w:t xml:space="preserve"> associado a essa modalidade específica (Ioffe, 2023, p. 336).</w:t>
      </w:r>
    </w:p>
    <w:p w:rsidR="00000000" w:rsidDel="00000000" w:rsidP="00000000" w:rsidRDefault="00000000" w:rsidRPr="00000000" w14:paraId="00000037">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Já no caso palestino, embora os indícios relativos ao elemento material sejam mais amplos e diversificados, a imputação do crime de genocídio enfrenta desafios semelhantes no plano da prova da intenção específica. Ademais, o contexto de intensa polarização política em torno das condutas atribuídas ao Estado de Israel, somado às limitações de acesso ao território, dificulta a coleta de provas diretas e a construção de um caso penal robusto sob essa tipificação.</w:t>
      </w:r>
    </w:p>
    <w:p w:rsidR="00000000" w:rsidDel="00000000" w:rsidP="00000000" w:rsidRDefault="00000000" w:rsidRPr="00000000" w14:paraId="00000038">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Ainda, a imputação do crime de genocídio envolve riscos institucionais elevados, incluindo a possibilidade de os juízes do Tribunal entenderem não haver, até o momento da apuração, elementos probatórios suficientemente robustos para a confirmação das acusações, o que poderia comprometer a credibilidade do Procurador e do próprio Tribunal em um contexto já marcado por pressões políticas e questionamentos à legitimidade das instituições internacionais (Khen, 2024, p. 113). Nesse sentido, os obstáculos à persecução desses atos como genocídio revelam-se predominantemente pragmáticos e políticos, mais do que jurídicos.</w:t>
      </w:r>
    </w:p>
    <w:p w:rsidR="00000000" w:rsidDel="00000000" w:rsidP="00000000" w:rsidRDefault="00000000" w:rsidRPr="00000000" w14:paraId="00000039">
      <w:pPr>
        <w:spacing w:line="360" w:lineRule="auto"/>
        <w:ind w:firstLine="72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Por fim, a cautela adotada na fase inicial não impede a posterior revisão das acusações. O Estatuto de Roma admite a emenda ou ampliação das imputações ao longo do procedimento, caso novos elementos probatórios o justifiquem. A ausência da tipificação como genocídio deve, portanto, ser compreendida não como uma exclusão definitiva dessa qualificação, mas como expressão dos limites estratégicos e estruturais que moldam a atuação do TPI na justiça penal internacional contemporânea.</w:t>
      </w:r>
    </w:p>
    <w:p w:rsidR="00000000" w:rsidDel="00000000" w:rsidP="00000000" w:rsidRDefault="00000000" w:rsidRPr="00000000" w14:paraId="0000003A">
      <w:pPr>
        <w:pStyle w:val="Heading1"/>
        <w:ind w:left="0" w:firstLine="0"/>
        <w:rPr>
          <w:rFonts w:ascii="Times New Roman" w:cs="Times New Roman" w:eastAsia="Times New Roman" w:hAnsi="Times New Roman"/>
          <w:b w:val="1"/>
          <w:bCs w:val="1"/>
          <w:sz w:val="24"/>
          <w:szCs w:val="24"/>
        </w:rPr>
      </w:pPr>
      <w:bookmarkStart w:colFirst="0" w:colLast="0" w:name="_heading=h.m00gzgfxbsh1" w:id="5"/>
      <w:bookmarkEnd w:id="5"/>
      <w:r w:rsidDel="00000000" w:rsidR="00000000" w:rsidRPr="00000000">
        <w:rPr>
          <w:rFonts w:ascii="Times New Roman" w:cs="Times New Roman" w:eastAsia="Times New Roman" w:hAnsi="Times New Roman"/>
          <w:b w:val="1"/>
          <w:bCs w:val="1"/>
          <w:sz w:val="24"/>
          <w:szCs w:val="24"/>
          <w:rtl w:val="0"/>
        </w:rPr>
        <w:t xml:space="preserve">IV - CONSIDERAÇÕES FINAIS</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40" w:line="360" w:lineRule="auto"/>
        <w:ind w:left="0" w:right="0" w:firstLine="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Como demonstrado ao longo do capítulo, tanto no caso da Ucrânia quanto no da Palestina/Gaza existe um conjunto significativo de elementos fáticos e jurídicos que poderiam sustentar a qualificação de determinadas condutas como genocídio. No contexto ucraniano, a doutrina identifica indícios concentrados na transferência forçada de crianças, prevista na alínea (e) do artigo II da Convenção sobre Genocídio. Já no caso palestino, o relatório da comissão de inquérito sistematiza indícios de condutas enquadráveis nas quatro primeiras alíneas do mesmo dispositivo, relativas à destruição física e biológica do grupo protegido, sendo a alínea (e) a única para a qual não foram apontados, até o momento, atos suscetíveis de qualificação como genocídio.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Apesar desse quadro, o TPI tem adotado uma postura cautelosa, optando pela imputação de crimes de guerra e crimes contra a humanidade. Sustenta-se, nesse capítulo, que essa cautela não deve ser compreendida como omissão ou falha estratégica do Tribunal, mas como expressão dos limites jurídicos, probatórios e conceituais inerentes à própria categoria do crime de genocídio. Embora inexista hierarquia entre crimes internacionais, uma mesma conduta pode satisfazer simultaneamente o elemento material relativo a crimes de guerra, crimes contra a humanidade e genocídio. A distinção decisiva reside na presença do elemento subjetivo específico do genocídio</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o </w:t>
      </w:r>
      <w:r w:rsidDel="00000000" w:rsidR="00000000" w:rsidRPr="00000000">
        <w:rPr>
          <w:rFonts w:ascii="Times New Roman" w:cs="Times New Roman" w:eastAsia="Times New Roman" w:hAnsi="Times New Roman"/>
          <w:b w:val="0"/>
          <w:bCs w:val="0"/>
          <w:i w:val="1"/>
          <w:iCs w:val="1"/>
          <w:smallCaps w:val="0"/>
          <w:strike w:val="0"/>
          <w:color w:val="000000"/>
          <w:sz w:val="24"/>
          <w:szCs w:val="24"/>
          <w:u w:val="none"/>
          <w:shd w:fill="auto" w:val="clear"/>
          <w:vertAlign w:val="baseline"/>
          <w:rtl w:val="0"/>
        </w:rPr>
        <w:t xml:space="preserve">dolus specialis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cuja demonstração impõe um ônus probatório particularmente elevado.</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A exigência de comprovação dessa intenção específica, tal como delineada pela jurisprudência de outros tribunais internacionais, condiciona de forma decisiva as escolhas do Gabinete do Procurador. Para além das dificuldades estritamente jurídicas, fatores pragmáticos e institucionais também influenciam essa estratégia, como as limitações de acesso a provas, a dependência da cooperação estatal e o risco de que a não confirmação das acusações, por insuficiência probatória, comprometa a credibilidade do Procurador e do próprio Tribunal em um contexto internacional marcado por intensa polarização política.</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Nesse sentido, a atuação do TPI nos casos analisados revela uma estratégia institucional orientada pela maximização da segurança jurídica e da viabilidade processual. Longe de minimizar a gravidade das condutas investigadas, essa abordagem evidencia a tensão permanente entre a ambição normativa do direito penal internacional e suas possibilidades concretas de aplicação. Ainda assim, pode-se afirmar que o Tribunal tem conduzido sua atuação de acordo com as balizas jurídicas que regem o seu mandato, fazendo uso das estratégias legais disponíveis no âmbito do Estatuto de Roma e não se eximindo do exercício de sua jurisdição, inclusive ao aplicar o direito penal internacional de forma imparcial em relação a diferentes partes beligerantes.</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72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Conclui-se, portanto, que os debates em torno da não aplicação da tipificação de genocídio nos casos da Ucrânia e da Palestina dizem menos respeito </w:t>
      </w:r>
      <w:r w:rsidDel="00000000" w:rsidR="00000000" w:rsidRPr="00000000">
        <w:rPr>
          <w:rFonts w:ascii="Times New Roman" w:cs="Times New Roman" w:eastAsia="Times New Roman" w:hAnsi="Times New Roman"/>
          <w:sz w:val="24"/>
          <w:szCs w:val="24"/>
          <w:rtl w:val="0"/>
        </w:rPr>
        <w:t xml:space="preserve">às</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deficiências da atuação do TPI e mais aos limites históricos, estruturais e conceituais da própria categoria genocídio no direito internacional. Desse modo, evidencia-se que a perspectiva do genocídio como o “crime dos crimes”</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fortemente enraizada no discurso jurídico e político, é também um dos fatores que, paradoxalmente, limita a sua aplicação judicial, especialmente em cenários contemporâneos de volatilidade da ordem internacional.</w:t>
      </w:r>
    </w:p>
    <w:p w:rsidR="00000000" w:rsidDel="00000000" w:rsidP="00000000" w:rsidRDefault="00000000" w:rsidRPr="00000000" w14:paraId="00000040">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REFERÊNCIAS</w:t>
      </w:r>
    </w:p>
    <w:p w:rsidR="00000000" w:rsidDel="00000000" w:rsidP="00000000" w:rsidRDefault="00000000" w:rsidRPr="00000000" w14:paraId="00000043">
      <w:pPr>
        <w:rPr>
          <w:rFonts w:ascii="Times New Roman" w:cs="Times New Roman" w:eastAsia="Times New Roman" w:hAnsi="Times New Roman"/>
          <w:b w:val="1"/>
          <w:bCs w:val="1"/>
          <w:sz w:val="24"/>
          <w:szCs w:val="24"/>
        </w:rPr>
      </w:pPr>
      <w:r w:rsidDel="00000000" w:rsidR="00000000" w:rsidRPr="00000000">
        <w:rPr>
          <w:rtl w:val="0"/>
        </w:rPr>
      </w:r>
    </w:p>
    <w:p w:rsidR="00000000" w:rsidDel="00000000" w:rsidP="00000000" w:rsidRDefault="00000000" w:rsidRPr="00000000" w14:paraId="00000044">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 </w:t>
      </w:r>
      <w:r w:rsidDel="00000000" w:rsidR="00000000" w:rsidRPr="00000000">
        <w:rPr>
          <w:rFonts w:ascii="Times New Roman" w:cs="Times New Roman" w:eastAsia="Times New Roman" w:hAnsi="Times New Roman"/>
          <w:i w:val="1"/>
          <w:iCs w:val="1"/>
          <w:sz w:val="24"/>
          <w:szCs w:val="24"/>
          <w:rtl w:val="0"/>
        </w:rPr>
        <w:t xml:space="preserve">Volodymyr Zelenskyy says 200,000 children among Ukrainians forcefully taken to Russia</w:t>
      </w:r>
      <w:r w:rsidDel="00000000" w:rsidR="00000000" w:rsidRPr="00000000">
        <w:rPr>
          <w:rFonts w:ascii="Times New Roman" w:cs="Times New Roman" w:eastAsia="Times New Roman" w:hAnsi="Times New Roman"/>
          <w:sz w:val="24"/>
          <w:szCs w:val="24"/>
          <w:rtl w:val="0"/>
        </w:rPr>
        <w:t xml:space="preserve">. Disponível em: https://www.firstpost.com/world/volodymyr-zelenskyy-says-200000-children-among-ukrainians-forcefully-taken-to-russia-10747981.html</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4"/>
          <w:szCs w:val="24"/>
          <w:rtl w:val="0"/>
        </w:rPr>
        <w:t xml:space="preserve">. Acesso em: 14 jan. 2025. </w:t>
      </w:r>
    </w:p>
    <w:p w:rsidR="00000000" w:rsidDel="00000000" w:rsidP="00000000" w:rsidRDefault="00000000" w:rsidRPr="00000000" w14:paraId="00000045">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BRASIL.</w:t>
      </w:r>
      <w:r w:rsidDel="00000000" w:rsidR="00000000" w:rsidRPr="00000000">
        <w:rPr>
          <w:rFonts w:ascii="Times New Roman" w:cs="Times New Roman" w:eastAsia="Times New Roman" w:hAnsi="Times New Roman"/>
          <w:i w:val="1"/>
          <w:iCs w:val="1"/>
          <w:sz w:val="24"/>
          <w:szCs w:val="24"/>
          <w:rtl w:val="0"/>
        </w:rPr>
        <w:t xml:space="preserve"> Decreto n</w:t>
      </w:r>
      <w:r w:rsidDel="00000000" w:rsidR="00000000" w:rsidRPr="00000000">
        <w:rPr>
          <w:rFonts w:ascii="Times New Roman" w:cs="Times New Roman" w:eastAsia="Times New Roman" w:hAnsi="Times New Roman"/>
          <w:i w:val="1"/>
          <w:iCs w:val="1"/>
          <w:sz w:val="24"/>
          <w:szCs w:val="24"/>
          <w:vertAlign w:val="superscript"/>
          <w:rtl w:val="0"/>
        </w:rPr>
        <w:t xml:space="preserve">o</w:t>
      </w:r>
      <w:r w:rsidDel="00000000" w:rsidR="00000000" w:rsidRPr="00000000">
        <w:rPr>
          <w:rFonts w:ascii="Times New Roman" w:cs="Times New Roman" w:eastAsia="Times New Roman" w:hAnsi="Times New Roman"/>
          <w:i w:val="1"/>
          <w:iCs w:val="1"/>
          <w:sz w:val="24"/>
          <w:szCs w:val="24"/>
          <w:rtl w:val="0"/>
        </w:rPr>
        <w:t xml:space="preserve"> 4.388, de 25 de Setembro de 2002</w:t>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rFonts w:ascii="Times New Roman" w:cs="Times New Roman" w:eastAsia="Times New Roman" w:hAnsi="Times New Roman"/>
          <w:i w:val="1"/>
          <w:iCs w:val="1"/>
          <w:sz w:val="24"/>
          <w:szCs w:val="24"/>
          <w:rtl w:val="0"/>
        </w:rPr>
        <w:t xml:space="preserve"> Promulga o Estatuto de Roma do Tribunal Penal Internacional</w:t>
      </w:r>
      <w:r w:rsidDel="00000000" w:rsidR="00000000" w:rsidRPr="00000000">
        <w:rPr>
          <w:rFonts w:ascii="Times New Roman" w:cs="Times New Roman" w:eastAsia="Times New Roman" w:hAnsi="Times New Roman"/>
          <w:sz w:val="24"/>
          <w:szCs w:val="24"/>
          <w:rtl w:val="0"/>
        </w:rPr>
        <w:t xml:space="preserve">, 2002. Disponível em: https://www.planalto.gov.br/ccivil_03/decreto/2002/d4388.htm . Acesso em: 16 dez. 2025 </w:t>
      </w:r>
    </w:p>
    <w:p w:rsidR="00000000" w:rsidDel="00000000" w:rsidP="00000000" w:rsidRDefault="00000000" w:rsidRPr="00000000" w14:paraId="00000046">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COMMISSIONER LVOVA-BELOVA. </w:t>
      </w:r>
      <w:r w:rsidDel="00000000" w:rsidR="00000000" w:rsidRPr="00000000">
        <w:rPr>
          <w:rFonts w:ascii="Times New Roman" w:cs="Times New Roman" w:eastAsia="Times New Roman" w:hAnsi="Times New Roman"/>
          <w:i w:val="1"/>
          <w:iCs w:val="1"/>
          <w:sz w:val="24"/>
          <w:szCs w:val="24"/>
          <w:rtl w:val="0"/>
        </w:rPr>
        <w:t xml:space="preserve">Maria Lvova-Belova visited the Kaluga region and met with foster families who took custody of children from the DPR</w:t>
      </w:r>
      <w:r w:rsidDel="00000000" w:rsidR="00000000" w:rsidRPr="00000000">
        <w:rPr>
          <w:rFonts w:ascii="Times New Roman" w:cs="Times New Roman" w:eastAsia="Times New Roman" w:hAnsi="Times New Roman"/>
          <w:sz w:val="24"/>
          <w:szCs w:val="24"/>
          <w:rtl w:val="0"/>
        </w:rPr>
        <w:t xml:space="preserve">. Disponível em: http://deti.gov.ru/articles/news/mariya-l-vova-belova-posetilakaluzhskuyu- oblast-i-vstretilas-s-priemnymi-sem-yami-vzyavshimi-pod-opeku-detej-iz-dnr . Acesso em: 9 dez. 2025. </w:t>
      </w:r>
    </w:p>
    <w:p w:rsidR="00000000" w:rsidDel="00000000" w:rsidP="00000000" w:rsidRDefault="00000000" w:rsidRPr="00000000" w14:paraId="00000047">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CRYER, Robert.; FRIMAN, Hakan.; ROBINSON, Darryl.; WILMSHURST, Elizabeth.</w:t>
      </w:r>
      <w:r w:rsidDel="00000000" w:rsidR="00000000" w:rsidRPr="00000000">
        <w:rPr>
          <w:rFonts w:ascii="Times New Roman" w:cs="Times New Roman" w:eastAsia="Times New Roman" w:hAnsi="Times New Roman"/>
          <w:i w:val="1"/>
          <w:iCs w:val="1"/>
          <w:sz w:val="24"/>
          <w:szCs w:val="24"/>
          <w:rtl w:val="0"/>
        </w:rPr>
        <w:t xml:space="preserve"> An introduction to international criminal law and procedure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iCs w:val="1"/>
          <w:sz w:val="24"/>
          <w:szCs w:val="24"/>
          <w:rtl w:val="0"/>
        </w:rPr>
        <w:t xml:space="preserve">[S.l.]</w:t>
      </w:r>
      <w:r w:rsidDel="00000000" w:rsidR="00000000" w:rsidRPr="00000000">
        <w:rPr>
          <w:rFonts w:ascii="Times New Roman" w:cs="Times New Roman" w:eastAsia="Times New Roman" w:hAnsi="Times New Roman"/>
          <w:sz w:val="24"/>
          <w:szCs w:val="24"/>
          <w:rtl w:val="0"/>
        </w:rPr>
        <w:t xml:space="preserve">: Cambridge University Press, 2010. </w:t>
      </w:r>
    </w:p>
    <w:p w:rsidR="00000000" w:rsidDel="00000000" w:rsidP="00000000" w:rsidRDefault="00000000" w:rsidRPr="00000000" w14:paraId="00000048">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DRAETTA, Ugo. The Crisis of United Nations.</w:t>
      </w:r>
      <w:r w:rsidDel="00000000" w:rsidR="00000000" w:rsidRPr="00000000">
        <w:rPr>
          <w:rFonts w:ascii="Times New Roman" w:cs="Times New Roman" w:eastAsia="Times New Roman" w:hAnsi="Times New Roman"/>
          <w:i w:val="1"/>
          <w:iCs w:val="1"/>
          <w:sz w:val="24"/>
          <w:szCs w:val="24"/>
          <w:rtl w:val="0"/>
        </w:rPr>
        <w:t xml:space="preserve"> The Federalist</w:t>
      </w:r>
      <w:r w:rsidDel="00000000" w:rsidR="00000000" w:rsidRPr="00000000">
        <w:rPr>
          <w:rFonts w:ascii="Times New Roman" w:cs="Times New Roman" w:eastAsia="Times New Roman" w:hAnsi="Times New Roman"/>
          <w:sz w:val="24"/>
          <w:szCs w:val="24"/>
          <w:rtl w:val="0"/>
        </w:rPr>
        <w:t xml:space="preserve">, 2005. </w:t>
      </w:r>
    </w:p>
    <w:p w:rsidR="00000000" w:rsidDel="00000000" w:rsidP="00000000" w:rsidRDefault="00000000" w:rsidRPr="00000000" w14:paraId="00000049">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FOLLESDAL, Andreas. Survey Article: The Legitimacy of International Courts.</w:t>
      </w:r>
      <w:r w:rsidDel="00000000" w:rsidR="00000000" w:rsidRPr="00000000">
        <w:rPr>
          <w:rFonts w:ascii="Times New Roman" w:cs="Times New Roman" w:eastAsia="Times New Roman" w:hAnsi="Times New Roman"/>
          <w:i w:val="1"/>
          <w:iCs w:val="1"/>
          <w:sz w:val="24"/>
          <w:szCs w:val="24"/>
          <w:rtl w:val="0"/>
        </w:rPr>
        <w:t xml:space="preserve"> Journal of Political Philosophy</w:t>
      </w:r>
      <w:r w:rsidDel="00000000" w:rsidR="00000000" w:rsidRPr="00000000">
        <w:rPr>
          <w:rFonts w:ascii="Times New Roman" w:cs="Times New Roman" w:eastAsia="Times New Roman" w:hAnsi="Times New Roman"/>
          <w:sz w:val="24"/>
          <w:szCs w:val="24"/>
          <w:rtl w:val="0"/>
        </w:rPr>
        <w:t xml:space="preserve">, v. 28, n. 4, p. 476–499, 2020. </w:t>
      </w:r>
    </w:p>
    <w:p w:rsidR="00000000" w:rsidDel="00000000" w:rsidP="00000000" w:rsidRDefault="00000000" w:rsidRPr="00000000" w14:paraId="0000004A">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GUILFOYLE, Douglas. </w:t>
      </w:r>
      <w:r w:rsidDel="00000000" w:rsidR="00000000" w:rsidRPr="00000000">
        <w:rPr>
          <w:rFonts w:ascii="Times New Roman" w:cs="Times New Roman" w:eastAsia="Times New Roman" w:hAnsi="Times New Roman"/>
          <w:i w:val="1"/>
          <w:iCs w:val="1"/>
          <w:sz w:val="24"/>
          <w:szCs w:val="24"/>
          <w:rtl w:val="0"/>
        </w:rPr>
        <w:t xml:space="preserve">International Criminal Law</w:t>
      </w:r>
      <w:r w:rsidDel="00000000" w:rsidR="00000000" w:rsidRPr="00000000">
        <w:rPr>
          <w:rFonts w:ascii="Times New Roman" w:cs="Times New Roman" w:eastAsia="Times New Roman" w:hAnsi="Times New Roman"/>
          <w:sz w:val="24"/>
          <w:szCs w:val="24"/>
          <w:rtl w:val="0"/>
        </w:rPr>
        <w:t xml:space="preserve">. Oxford, New York: Oxford University Press, 2016. </w:t>
      </w:r>
    </w:p>
    <w:p w:rsidR="00000000" w:rsidDel="00000000" w:rsidP="00000000" w:rsidRDefault="00000000" w:rsidRPr="00000000" w14:paraId="0000004B">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HIZUME, Gabriella de Camargo. Breves reflexões acerca da questão da cooperação jurídica no Tribunal Penal Internacional. </w:t>
      </w:r>
      <w:r w:rsidDel="00000000" w:rsidR="00000000" w:rsidRPr="00000000">
        <w:rPr>
          <w:rFonts w:ascii="Times New Roman" w:cs="Times New Roman" w:eastAsia="Times New Roman" w:hAnsi="Times New Roman"/>
          <w:i w:val="1"/>
          <w:iCs w:val="1"/>
          <w:sz w:val="24"/>
          <w:szCs w:val="24"/>
          <w:rtl w:val="0"/>
        </w:rPr>
        <w:t xml:space="preserve">In</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iCs w:val="1"/>
          <w:sz w:val="24"/>
          <w:szCs w:val="24"/>
          <w:rtl w:val="0"/>
        </w:rPr>
        <w:t xml:space="preserve">Estudos de direito internacional: anais do 5</w:t>
      </w:r>
      <w:r w:rsidDel="00000000" w:rsidR="00000000" w:rsidRPr="00000000">
        <w:rPr>
          <w:rFonts w:ascii="Times New Roman" w:cs="Times New Roman" w:eastAsia="Times New Roman" w:hAnsi="Times New Roman"/>
          <w:i w:val="1"/>
          <w:iCs w:val="1"/>
          <w:sz w:val="24"/>
          <w:szCs w:val="24"/>
          <w:vertAlign w:val="superscript"/>
          <w:rtl w:val="0"/>
        </w:rPr>
        <w:t xml:space="preserve">o</w:t>
      </w:r>
      <w:r w:rsidDel="00000000" w:rsidR="00000000" w:rsidRPr="00000000">
        <w:rPr>
          <w:rFonts w:ascii="Times New Roman" w:cs="Times New Roman" w:eastAsia="Times New Roman" w:hAnsi="Times New Roman"/>
          <w:i w:val="1"/>
          <w:iCs w:val="1"/>
          <w:sz w:val="24"/>
          <w:szCs w:val="24"/>
          <w:rtl w:val="0"/>
        </w:rPr>
        <w:t xml:space="preserve"> Congresso Brasileiro de Direito Internacional</w:t>
      </w:r>
      <w:r w:rsidDel="00000000" w:rsidR="00000000" w:rsidRPr="00000000">
        <w:rPr>
          <w:rFonts w:ascii="Times New Roman" w:cs="Times New Roman" w:eastAsia="Times New Roman" w:hAnsi="Times New Roman"/>
          <w:sz w:val="24"/>
          <w:szCs w:val="24"/>
          <w:rtl w:val="0"/>
        </w:rPr>
        <w:t xml:space="preserve">. Curitiba: Juruá, 2007. v. 5 p. 187–193. </w:t>
      </w:r>
    </w:p>
    <w:p w:rsidR="00000000" w:rsidDel="00000000" w:rsidP="00000000" w:rsidRDefault="00000000" w:rsidRPr="00000000" w14:paraId="0000004C">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IOFFE, Yulia. </w:t>
      </w:r>
      <w:r w:rsidDel="00000000" w:rsidR="00000000" w:rsidRPr="00000000">
        <w:rPr>
          <w:rFonts w:ascii="Times New Roman" w:cs="Times New Roman" w:eastAsia="Times New Roman" w:hAnsi="Times New Roman"/>
          <w:i w:val="1"/>
          <w:iCs w:val="1"/>
          <w:sz w:val="24"/>
          <w:szCs w:val="24"/>
          <w:rtl w:val="0"/>
        </w:rPr>
        <w:t xml:space="preserve">Forcibly Transferring Ukrainian Children to the Russian Federation: A Genocide?</w:t>
      </w:r>
      <w:r w:rsidDel="00000000" w:rsidR="00000000" w:rsidRPr="00000000">
        <w:rPr>
          <w:rFonts w:ascii="Times New Roman" w:cs="Times New Roman" w:eastAsia="Times New Roman" w:hAnsi="Times New Roman"/>
          <w:sz w:val="24"/>
          <w:szCs w:val="24"/>
          <w:rtl w:val="0"/>
        </w:rPr>
        <w:t xml:space="preserve"> Journal of Genocide Research, v. 25, p. 315–351, 10 dez. 2025. </w:t>
      </w:r>
    </w:p>
    <w:p w:rsidR="00000000" w:rsidDel="00000000" w:rsidP="00000000" w:rsidRDefault="00000000" w:rsidRPr="00000000" w14:paraId="0000004D">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KHEN, Hilly. </w:t>
      </w:r>
      <w:r w:rsidDel="00000000" w:rsidR="00000000" w:rsidRPr="00000000">
        <w:rPr>
          <w:rFonts w:ascii="Times New Roman" w:cs="Times New Roman" w:eastAsia="Times New Roman" w:hAnsi="Times New Roman"/>
          <w:i w:val="1"/>
          <w:iCs w:val="1"/>
          <w:sz w:val="24"/>
          <w:szCs w:val="24"/>
          <w:rtl w:val="0"/>
        </w:rPr>
        <w:t xml:space="preserve">The Forcible Transfer of Children from Ukraine as Genocide: Awakening the Dormant Prohibition of the Genocide Convention.</w:t>
      </w:r>
      <w:r w:rsidDel="00000000" w:rsidR="00000000" w:rsidRPr="00000000">
        <w:rPr>
          <w:rFonts w:ascii="Times New Roman" w:cs="Times New Roman" w:eastAsia="Times New Roman" w:hAnsi="Times New Roman"/>
          <w:sz w:val="24"/>
          <w:szCs w:val="24"/>
          <w:rtl w:val="0"/>
        </w:rPr>
        <w:t xml:space="preserve"> The International Journal of Children’s Rights, v. 32, p. 78–118, 6 jan. 2026. </w:t>
      </w:r>
    </w:p>
    <w:p w:rsidR="00000000" w:rsidDel="00000000" w:rsidP="00000000" w:rsidRDefault="00000000" w:rsidRPr="00000000" w14:paraId="0000004E">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KRECHETOVA, Diana. </w:t>
      </w:r>
      <w:r w:rsidDel="00000000" w:rsidR="00000000" w:rsidRPr="00000000">
        <w:rPr>
          <w:rFonts w:ascii="Times New Roman" w:cs="Times New Roman" w:eastAsia="Times New Roman" w:hAnsi="Times New Roman"/>
          <w:i w:val="1"/>
          <w:iCs w:val="1"/>
          <w:sz w:val="24"/>
          <w:szCs w:val="24"/>
          <w:rtl w:val="0"/>
        </w:rPr>
        <w:t xml:space="preserve">Russia announces the “adoption” of thousands of children deported from Mariupol.</w:t>
      </w:r>
      <w:r w:rsidDel="00000000" w:rsidR="00000000" w:rsidRPr="00000000">
        <w:rPr>
          <w:rFonts w:ascii="Times New Roman" w:cs="Times New Roman" w:eastAsia="Times New Roman" w:hAnsi="Times New Roman"/>
          <w:sz w:val="24"/>
          <w:szCs w:val="24"/>
          <w:rtl w:val="0"/>
        </w:rPr>
        <w:t xml:space="preserve"> Disponível em: https://www.pravda.com.ua/eng/news/2022/08/23/7364446/ . Acesso em: 20 dez. 2025. </w:t>
      </w:r>
    </w:p>
    <w:p w:rsidR="00000000" w:rsidDel="00000000" w:rsidP="00000000" w:rsidRDefault="00000000" w:rsidRPr="00000000" w14:paraId="0000004F">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LEMKIN, Raphael. </w:t>
      </w:r>
      <w:r w:rsidDel="00000000" w:rsidR="00000000" w:rsidRPr="00000000">
        <w:rPr>
          <w:rFonts w:ascii="Times New Roman" w:cs="Times New Roman" w:eastAsia="Times New Roman" w:hAnsi="Times New Roman"/>
          <w:i w:val="1"/>
          <w:iCs w:val="1"/>
          <w:sz w:val="24"/>
          <w:szCs w:val="24"/>
          <w:rtl w:val="0"/>
        </w:rPr>
        <w:t xml:space="preserve">Axis Rule in Occupied Europe: Laws of Occupation, Analysis of Government, Proposals for Redress</w:t>
      </w:r>
      <w:r w:rsidDel="00000000" w:rsidR="00000000" w:rsidRPr="00000000">
        <w:rPr>
          <w:rFonts w:ascii="Times New Roman" w:cs="Times New Roman" w:eastAsia="Times New Roman" w:hAnsi="Times New Roman"/>
          <w:sz w:val="24"/>
          <w:szCs w:val="24"/>
          <w:rtl w:val="0"/>
        </w:rPr>
        <w:t xml:space="preserve">. Segunda Edição [2008] ed. </w:t>
      </w:r>
      <w:r w:rsidDel="00000000" w:rsidR="00000000" w:rsidRPr="00000000">
        <w:rPr>
          <w:rFonts w:ascii="Times New Roman" w:cs="Times New Roman" w:eastAsia="Times New Roman" w:hAnsi="Times New Roman"/>
          <w:i w:val="1"/>
          <w:iCs w:val="1"/>
          <w:sz w:val="24"/>
          <w:szCs w:val="24"/>
          <w:rtl w:val="0"/>
        </w:rPr>
        <w:t xml:space="preserve">[S.l.]</w:t>
      </w:r>
      <w:r w:rsidDel="00000000" w:rsidR="00000000" w:rsidRPr="00000000">
        <w:rPr>
          <w:rFonts w:ascii="Times New Roman" w:cs="Times New Roman" w:eastAsia="Times New Roman" w:hAnsi="Times New Roman"/>
          <w:sz w:val="24"/>
          <w:szCs w:val="24"/>
          <w:rtl w:val="0"/>
        </w:rPr>
        <w:t xml:space="preserve">: The Lawbook Exchange, Ltd., 1944. </w:t>
      </w:r>
    </w:p>
    <w:p w:rsidR="00000000" w:rsidDel="00000000" w:rsidP="00000000" w:rsidRDefault="00000000" w:rsidRPr="00000000" w14:paraId="00000050">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LEWANDOWSKI, Enrique Ricardo. </w:t>
      </w:r>
      <w:r w:rsidDel="00000000" w:rsidR="00000000" w:rsidRPr="00000000">
        <w:rPr>
          <w:rFonts w:ascii="Times New Roman" w:cs="Times New Roman" w:eastAsia="Times New Roman" w:hAnsi="Times New Roman"/>
          <w:i w:val="1"/>
          <w:iCs w:val="1"/>
          <w:sz w:val="24"/>
          <w:szCs w:val="24"/>
          <w:rtl w:val="0"/>
        </w:rPr>
        <w:t xml:space="preserve">O Tribunal Penal Internacional: de uma cultura de impunidade para uma cultura de responsabilidade</w:t>
      </w:r>
      <w:r w:rsidDel="00000000" w:rsidR="00000000" w:rsidRPr="00000000">
        <w:rPr>
          <w:rFonts w:ascii="Times New Roman" w:cs="Times New Roman" w:eastAsia="Times New Roman" w:hAnsi="Times New Roman"/>
          <w:sz w:val="24"/>
          <w:szCs w:val="24"/>
          <w:rtl w:val="0"/>
        </w:rPr>
        <w:t xml:space="preserve">. Estudos Avançados, v. 16, p. 187–197, 2002. </w:t>
      </w:r>
    </w:p>
    <w:p w:rsidR="00000000" w:rsidDel="00000000" w:rsidP="00000000" w:rsidRDefault="00000000" w:rsidRPr="00000000" w14:paraId="00000051">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ORGANIZAÇÃO DAS NAÇÕES UNIDAS. Convenção para a Prevenção e a Repressão do Crime de Genocídio. Entrada em vigor em 12 de janeiro de 1951. 1948. </w:t>
      </w:r>
    </w:p>
    <w:p w:rsidR="00000000" w:rsidDel="00000000" w:rsidP="00000000" w:rsidRDefault="00000000" w:rsidRPr="00000000" w14:paraId="00000052">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SCHABAS, William A.</w:t>
      </w:r>
      <w:r w:rsidDel="00000000" w:rsidR="00000000" w:rsidRPr="00000000">
        <w:rPr>
          <w:rFonts w:ascii="Times New Roman" w:cs="Times New Roman" w:eastAsia="Times New Roman" w:hAnsi="Times New Roman"/>
          <w:i w:val="1"/>
          <w:iCs w:val="1"/>
          <w:sz w:val="24"/>
          <w:szCs w:val="24"/>
          <w:rtl w:val="0"/>
        </w:rPr>
        <w:t xml:space="preserve"> Genocide in international law : the crime of crimes</w:t>
      </w:r>
      <w:r w:rsidDel="00000000" w:rsidR="00000000" w:rsidRPr="00000000">
        <w:rPr>
          <w:rFonts w:ascii="Times New Roman" w:cs="Times New Roman" w:eastAsia="Times New Roman" w:hAnsi="Times New Roman"/>
          <w:sz w:val="24"/>
          <w:szCs w:val="24"/>
          <w:rtl w:val="0"/>
        </w:rPr>
        <w:t xml:space="preserve">. Segunda edição. </w:t>
      </w:r>
      <w:r w:rsidDel="00000000" w:rsidR="00000000" w:rsidRPr="00000000">
        <w:rPr>
          <w:rFonts w:ascii="Times New Roman" w:cs="Times New Roman" w:eastAsia="Times New Roman" w:hAnsi="Times New Roman"/>
          <w:i w:val="1"/>
          <w:iCs w:val="1"/>
          <w:sz w:val="24"/>
          <w:szCs w:val="24"/>
          <w:rtl w:val="0"/>
        </w:rPr>
        <w:t xml:space="preserve">[S.l.]</w:t>
      </w:r>
      <w:r w:rsidDel="00000000" w:rsidR="00000000" w:rsidRPr="00000000">
        <w:rPr>
          <w:rFonts w:ascii="Times New Roman" w:cs="Times New Roman" w:eastAsia="Times New Roman" w:hAnsi="Times New Roman"/>
          <w:sz w:val="24"/>
          <w:szCs w:val="24"/>
          <w:rtl w:val="0"/>
        </w:rPr>
        <w:t xml:space="preserve">: Cambridge University Press, 2009. </w:t>
      </w:r>
    </w:p>
    <w:p w:rsidR="00000000" w:rsidDel="00000000" w:rsidP="00000000" w:rsidRDefault="00000000" w:rsidRPr="00000000" w14:paraId="00000053">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INTERNATIONAL CRIMINAL COURT. </w:t>
      </w:r>
      <w:r w:rsidDel="00000000" w:rsidR="00000000" w:rsidRPr="00000000">
        <w:rPr>
          <w:rFonts w:ascii="Times New Roman" w:cs="Times New Roman" w:eastAsia="Times New Roman" w:hAnsi="Times New Roman"/>
          <w:i w:val="1"/>
          <w:iCs w:val="1"/>
          <w:sz w:val="24"/>
          <w:szCs w:val="24"/>
          <w:rtl w:val="0"/>
        </w:rPr>
        <w:t xml:space="preserve">State of Palestine | International Criminal Court.</w:t>
      </w:r>
      <w:r w:rsidDel="00000000" w:rsidR="00000000" w:rsidRPr="00000000">
        <w:rPr>
          <w:rFonts w:ascii="Times New Roman" w:cs="Times New Roman" w:eastAsia="Times New Roman" w:hAnsi="Times New Roman"/>
          <w:sz w:val="24"/>
          <w:szCs w:val="24"/>
          <w:rtl w:val="0"/>
        </w:rPr>
        <w:t xml:space="preserve"> Disponível em: https://www.icc-cpi.int/palestine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24"/>
          <w:szCs w:val="24"/>
          <w:rtl w:val="0"/>
        </w:rPr>
        <w:t xml:space="preserve">. Acesso em: 30 dez. 2025. </w:t>
      </w:r>
    </w:p>
    <w:p w:rsidR="00000000" w:rsidDel="00000000" w:rsidP="00000000" w:rsidRDefault="00000000" w:rsidRPr="00000000" w14:paraId="00000054">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INTERNATIONAL CRIMINAL COURT</w:t>
      </w:r>
      <w:r w:rsidDel="00000000" w:rsidR="00000000" w:rsidRPr="00000000">
        <w:rPr>
          <w:rFonts w:ascii="Times New Roman" w:cs="Times New Roman" w:eastAsia="Times New Roman" w:hAnsi="Times New Roman"/>
          <w:i w:val="1"/>
          <w:iCs w:val="1"/>
          <w:sz w:val="24"/>
          <w:szCs w:val="24"/>
          <w:rtl w:val="0"/>
        </w:rPr>
        <w:t xml:space="preserve"> International Criminal Court</w:t>
      </w:r>
      <w:r w:rsidDel="00000000" w:rsidR="00000000" w:rsidRPr="00000000">
        <w:rPr>
          <w:rFonts w:ascii="Times New Roman" w:cs="Times New Roman" w:eastAsia="Times New Roman" w:hAnsi="Times New Roman"/>
          <w:sz w:val="24"/>
          <w:szCs w:val="24"/>
          <w:rtl w:val="0"/>
        </w:rPr>
        <w:t xml:space="preserve">. Disponível em: https://www.icc-cpi.int/ . Acesso em: 15 dez. 2025. </w:t>
      </w:r>
    </w:p>
    <w:p w:rsidR="00000000" w:rsidDel="00000000" w:rsidP="00000000" w:rsidRDefault="00000000" w:rsidRPr="00000000" w14:paraId="00000055">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INTERNATIONAL CRIMINAL COURT. </w:t>
      </w:r>
      <w:r w:rsidDel="00000000" w:rsidR="00000000" w:rsidRPr="00000000">
        <w:rPr>
          <w:rFonts w:ascii="Times New Roman" w:cs="Times New Roman" w:eastAsia="Times New Roman" w:hAnsi="Times New Roman"/>
          <w:i w:val="1"/>
          <w:iCs w:val="1"/>
          <w:sz w:val="24"/>
          <w:szCs w:val="24"/>
          <w:rtl w:val="0"/>
        </w:rPr>
        <w:t xml:space="preserve">Statement of ICC Prosecutor Karim A.A. Khan KC: Applications for arrest warrants in the situation in the State of Palestine</w:t>
      </w:r>
      <w:r w:rsidDel="00000000" w:rsidR="00000000" w:rsidRPr="00000000">
        <w:rPr>
          <w:rFonts w:ascii="Times New Roman" w:cs="Times New Roman" w:eastAsia="Times New Roman" w:hAnsi="Times New Roman"/>
          <w:sz w:val="24"/>
          <w:szCs w:val="24"/>
          <w:rtl w:val="0"/>
        </w:rPr>
        <w:t xml:space="preserve">. Disponível em: https://www.icc-cpi.int/news/statement-icc-prosecutor-karim-aa-khan-kc-applications-arrest-warrants-situation-state . Acesso em: 5 jan. 2026. </w:t>
      </w:r>
    </w:p>
    <w:p w:rsidR="00000000" w:rsidDel="00000000" w:rsidP="00000000" w:rsidRDefault="00000000" w:rsidRPr="00000000" w14:paraId="00000056">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INTERNATIONAL CRIMINAL COURT.</w:t>
      </w:r>
      <w:r w:rsidDel="00000000" w:rsidR="00000000" w:rsidRPr="00000000">
        <w:rPr>
          <w:rFonts w:ascii="Times New Roman" w:cs="Times New Roman" w:eastAsia="Times New Roman" w:hAnsi="Times New Roman"/>
          <w:i w:val="1"/>
          <w:iCs w:val="1"/>
          <w:sz w:val="24"/>
          <w:szCs w:val="24"/>
          <w:rtl w:val="0"/>
        </w:rPr>
        <w:t xml:space="preserve"> Ukraine - International Criminal Court.</w:t>
      </w:r>
      <w:r w:rsidDel="00000000" w:rsidR="00000000" w:rsidRPr="00000000">
        <w:rPr>
          <w:rFonts w:ascii="Times New Roman" w:cs="Times New Roman" w:eastAsia="Times New Roman" w:hAnsi="Times New Roman"/>
          <w:sz w:val="24"/>
          <w:szCs w:val="24"/>
          <w:rtl w:val="0"/>
        </w:rPr>
        <w:t xml:space="preserve"> Disponível em: https://www.icc-cpi.int/situations/ukraine . Acesso em: 17 dez. 2025. </w:t>
      </w:r>
    </w:p>
    <w:p w:rsidR="00000000" w:rsidDel="00000000" w:rsidP="00000000" w:rsidRDefault="00000000" w:rsidRPr="00000000" w14:paraId="00000057">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 OHCHR. </w:t>
      </w:r>
      <w:r w:rsidDel="00000000" w:rsidR="00000000" w:rsidRPr="00000000">
        <w:rPr>
          <w:rFonts w:ascii="Times New Roman" w:cs="Times New Roman" w:eastAsia="Times New Roman" w:hAnsi="Times New Roman"/>
          <w:i w:val="1"/>
          <w:iCs w:val="1"/>
          <w:sz w:val="24"/>
          <w:szCs w:val="24"/>
          <w:rtl w:val="0"/>
        </w:rPr>
        <w:t xml:space="preserve">UN OHCHR March 2023 Report of the Independent International Commission of Inquiry on Ukraine to UN General Assembly</w:t>
      </w:r>
      <w:r w:rsidDel="00000000" w:rsidR="00000000" w:rsidRPr="00000000">
        <w:rPr>
          <w:rFonts w:ascii="Times New Roman" w:cs="Times New Roman" w:eastAsia="Times New Roman" w:hAnsi="Times New Roman"/>
          <w:sz w:val="24"/>
          <w:szCs w:val="24"/>
          <w:rtl w:val="0"/>
        </w:rPr>
        <w:t xml:space="preserve">. A/HRC/52/62. [S.l]. Disponível em: https://docs.un.org/en/A/HRC/52/62 . Acesso em: 18 dez. 2025.</w:t>
      </w:r>
    </w:p>
    <w:p w:rsidR="00000000" w:rsidDel="00000000" w:rsidP="00000000" w:rsidRDefault="00000000" w:rsidRPr="00000000" w14:paraId="00000058">
      <w:pPr>
        <w:spacing w:after="240" w:line="240"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UN OHCHR. </w:t>
      </w:r>
      <w:r w:rsidDel="00000000" w:rsidR="00000000" w:rsidRPr="00000000">
        <w:rPr>
          <w:rFonts w:ascii="Times New Roman" w:cs="Times New Roman" w:eastAsia="Times New Roman" w:hAnsi="Times New Roman"/>
          <w:i w:val="1"/>
          <w:iCs w:val="1"/>
          <w:sz w:val="24"/>
          <w:szCs w:val="24"/>
          <w:rtl w:val="0"/>
        </w:rPr>
        <w:t xml:space="preserve">Legal analysis of the conduct of Israel in Gaza pursuant to the Convention on the Prevention and Punishment of the Crime of Genocide</w:t>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i w:val="1"/>
          <w:iCs w:val="1"/>
          <w:sz w:val="24"/>
          <w:szCs w:val="24"/>
          <w:rtl w:val="0"/>
        </w:rPr>
        <w:t xml:space="preserve">[S.l.: S.n.]</w:t>
      </w:r>
      <w:r w:rsidDel="00000000" w:rsidR="00000000" w:rsidRPr="00000000">
        <w:rPr>
          <w:rFonts w:ascii="Times New Roman" w:cs="Times New Roman" w:eastAsia="Times New Roman" w:hAnsi="Times New Roman"/>
          <w:sz w:val="24"/>
          <w:szCs w:val="24"/>
          <w:rtl w:val="0"/>
        </w:rPr>
        <w:t xml:space="preserve">. Disponível em: https://www.ohchr.org/sites/default/files/documents/hrbodies/hrcouncil/sessions-regular/session60/advance-version/a-hrc-60-crp-3.pdf . Acesso em: 12 jan. 2026. </w:t>
      </w:r>
    </w:p>
    <w:sectPr>
      <w:headerReference r:id="rId8" w:type="first"/>
      <w:footerReference r:id="rId9" w:type="default"/>
      <w:footerReference r:id="rId10" w:type="first"/>
      <w:pgSz w:h="16834" w:w="11909"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05C">
      <w:pPr>
        <w:spacing w:line="240" w:lineRule="auto"/>
        <w:jc w:val="both"/>
        <w:rPr>
          <w:rFonts w:ascii="Times New Roman" w:cs="Times New Roman" w:eastAsia="Times New Roman" w:hAnsi="Times New Roman"/>
          <w:sz w:val="20"/>
          <w:szCs w:val="20"/>
        </w:rPr>
      </w:pPr>
      <w:r w:rsidDel="00000000" w:rsidR="00000000" w:rsidRPr="00000000">
        <w:rPr>
          <w:rStyle w:val="FootnoteReference"/>
          <w:vertAlign w:val="superscript"/>
        </w:rPr>
        <w:footnoteRef/>
      </w:r>
      <w:r w:rsidDel="00000000" w:rsidR="00000000" w:rsidRPr="00000000">
        <w:rPr>
          <w:rFonts w:ascii="Times New Roman" w:cs="Times New Roman" w:eastAsia="Times New Roman" w:hAnsi="Times New Roman"/>
          <w:sz w:val="20"/>
          <w:szCs w:val="20"/>
          <w:rtl w:val="0"/>
        </w:rPr>
        <w:t xml:space="preserve"> Graduado em Direito pela Universidade de Coimbra (Portugal) e mestre em Direito Internacional e Europeu pela Universidade Católica Portuguesa - Escola de Direito do Porto. Atuou como pesquisador no Centro de Pesquisa em Direito Global (CPDG) da Escola de Direito do Rio da Fundação Getulio Vargas.</w:t>
      </w:r>
    </w:p>
    <w:p w:rsidR="00000000" w:rsidDel="00000000" w:rsidP="00000000" w:rsidRDefault="00000000" w:rsidRPr="00000000" w14:paraId="0000005D">
      <w:pPr>
        <w:spacing w:line="240" w:lineRule="auto"/>
        <w:rPr>
          <w:sz w:val="20"/>
          <w:szCs w:val="20"/>
        </w:rPr>
      </w:pP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9">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_B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iCs w:val="1"/>
      <w:color w:val="666666"/>
    </w:rPr>
  </w:style>
  <w:style w:type="paragraph" w:styleId="Title">
    <w:name w:val="Title"/>
    <w:basedOn w:val="Normal"/>
    <w:next w:val="Normal"/>
    <w:pPr>
      <w:keepNext w:val="1"/>
      <w:keepLines w:val="1"/>
      <w:spacing w:after="60" w:lineRule="auto"/>
    </w:pPr>
    <w:rPr>
      <w:sz w:val="52"/>
      <w:szCs w:val="52"/>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paragraph" w:styleId="NormalWeb">
    <w:name w:val="Normal (Web)"/>
    <w:basedOn w:val="Normal"/>
    <w:uiPriority w:val="99"/>
    <w:unhideWhenUsed w:val="1"/>
    <w:rsid w:val="005C0911"/>
    <w:pPr>
      <w:spacing w:after="100" w:afterAutospacing="1" w:before="100" w:beforeAutospacing="1" w:line="240" w:lineRule="auto"/>
    </w:pPr>
    <w:rPr>
      <w:rFonts w:ascii="Times New Roman" w:cs="Times New Roman" w:eastAsia="Times New Roman" w:hAnsi="Times New Roman"/>
      <w:sz w:val="24"/>
      <w:szCs w:val="24"/>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kE3M931BV1mWMLlu0u6/JhoVezA==">CgMxLjAyDmguaG9iM3IxYjVldGljMg5oLng1NWw2aHZ2bDcwbDIOaC41NjE4bHB4eGx4amYyDmguYXUwYm5nYzFpZDYyMg5oLjJtenF3YzZyaHc2czIOaC5tMDBnemdmeGJzaDE4AHIhMVRNb0tEcGp4SEc3NXFvSk5zM0RhdFk1Q0pHeVMzM0I2</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2026-01-30T19:30:00Z</dcterms:created>
  <dc:creator>Pedro</dc:creator>
</cp:coreProperties>
</file>